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Case 02 - Retention dropped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In short:</w:t>
      </w:r>
      <w:r>
        <w:rPr/>
        <w:t xml:space="preserve"> It's worth checking the CRM journeys. But before touching them, check whether the players themselves have changed. A drop in an overall metric often means the traffic mix has shifted.</w:t>
      </w:r>
    </w:p>
    <w:p>
      <w:pPr>
        <w:pStyle w:val="Heading2"/>
      </w:pPr>
      <w:r/>
      <w:r>
        <w:rPr/>
        <w:t>Situation</w:t>
      </w:r>
    </w:p>
    <w:p>
      <w:r>
        <w:rPr>
          <w:i/>
        </w:rPr>
        <w:t>Made-up numbers for the exercise.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M1 retention (share of a month's new depositors who play again on days 30-59) was around 50% for the March-April cohorts and 47% for the May-July cohorts.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The onboarding journey hasn't changed since March.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In May marketing launched a big campaign.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The Head of CRM asks: why has our onboarding stopped working?</w:t>
      </w:r>
    </w:p>
    <w:p>
      <w:pPr>
        <w:pStyle w:val="Heading2"/>
      </w:pPr>
      <w:r/>
      <w:r>
        <w:rPr/>
        <w:t>How I approach it</w:t>
      </w:r>
    </w:p>
    <w:p>
      <w:r>
        <w:rPr/>
        <w:t>Retention can drop because the product got worse, payments broke, the journey stopped firing or different people came in. CRM is only one of these causes. I go through them in order and start with the cheapest check: who are our new players?</w:t>
      </w:r>
    </w:p>
    <w:p>
      <w:r>
        <w:rPr/>
      </w:r>
      <w:r>
        <w:rPr>
          <w:b/>
        </w:rPr>
        <w:t>Step 1. Make sure the drop is real.</w:t>
      </w:r>
      <w:r>
        <w:rPr/>
        <w:t xml:space="preserve"> If you compare the July cohort with March before everyone has reached day 59, the "drop" is just missing time. We compare only complete cohorts.</w:t>
      </w:r>
    </w:p>
    <w:p>
      <w:r>
        <w:rPr/>
      </w:r>
      <w:r>
        <w:rPr>
          <w:b/>
        </w:rPr>
        <w:t>Step 2. Split by acquisition channel.</w:t>
      </w:r>
      <w:r>
        <w:rPr/>
        <w:t xml:space="preserve"> Let's say I see: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22"/>
        <w:gridCol w:w="1607"/>
        <w:gridCol w:w="1607"/>
        <w:gridCol w:w="1607"/>
      </w:tblGrid>
      <w:tr>
        <w:tc>
          <w:tcPr>
            <w:tcW w:type="dxa" w:w="226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Channel</w:t>
            </w:r>
          </w:p>
        </w:tc>
        <w:tc>
          <w:tcPr>
            <w:tcW w:type="dxa" w:w="232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Share of new depositors, Mar-Apr</w:t>
            </w:r>
          </w:p>
        </w:tc>
        <w:tc>
          <w:tcPr>
            <w:tcW w:type="dxa" w:w="160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Share, May-Jul</w:t>
            </w:r>
          </w:p>
        </w:tc>
        <w:tc>
          <w:tcPr>
            <w:tcW w:type="dxa" w:w="160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M1, Mar-Apr</w:t>
            </w:r>
          </w:p>
        </w:tc>
        <w:tc>
          <w:tcPr>
            <w:tcW w:type="dxa" w:w="160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M1, May-Jul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  <w:t>Paid social</w:t>
            </w:r>
          </w:p>
        </w:tc>
        <w:tc>
          <w:tcPr>
            <w:tcW w:type="dxa" w:w="2322"/>
          </w:tcPr>
          <w:p>
            <w:pPr>
              <w:spacing w:after="0"/>
            </w:pPr>
            <w:r>
              <w:rPr>
                <w:sz w:val="19"/>
              </w:rPr>
              <w:t>7%</w:t>
            </w:r>
          </w:p>
        </w:tc>
        <w:tc>
          <w:tcPr>
            <w:tcW w:type="dxa" w:w="1607"/>
          </w:tcPr>
          <w:p>
            <w:pPr>
              <w:spacing w:after="0"/>
            </w:pPr>
            <w:r>
              <w:rPr>
                <w:sz w:val="19"/>
              </w:rPr>
              <w:t>20%</w:t>
            </w:r>
          </w:p>
        </w:tc>
        <w:tc>
          <w:tcPr>
            <w:tcW w:type="dxa" w:w="1607"/>
          </w:tcPr>
          <w:p>
            <w:pPr>
              <w:spacing w:after="0"/>
            </w:pPr>
            <w:r>
              <w:rPr>
                <w:sz w:val="19"/>
              </w:rPr>
              <w:t>30%</w:t>
            </w:r>
          </w:p>
        </w:tc>
        <w:tc>
          <w:tcPr>
            <w:tcW w:type="dxa" w:w="1607"/>
          </w:tcPr>
          <w:p>
            <w:pPr>
              <w:spacing w:after="0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9"/>
              </w:rPr>
              <w:t>All other channels</w:t>
            </w:r>
          </w:p>
        </w:tc>
        <w:tc>
          <w:tcPr>
            <w:tcW w:type="dxa" w:w="2322"/>
          </w:tcPr>
          <w:p>
            <w:pPr>
              <w:spacing w:after="0"/>
            </w:pPr>
            <w:r>
              <w:rPr>
                <w:sz w:val="19"/>
              </w:rPr>
              <w:t>93%</w:t>
            </w:r>
          </w:p>
        </w:tc>
        <w:tc>
          <w:tcPr>
            <w:tcW w:type="dxa" w:w="1607"/>
          </w:tcPr>
          <w:p>
            <w:pPr>
              <w:spacing w:after="0"/>
            </w:pPr>
            <w:r>
              <w:rPr>
                <w:sz w:val="19"/>
              </w:rPr>
              <w:t>80%</w:t>
            </w:r>
          </w:p>
        </w:tc>
        <w:tc>
          <w:tcPr>
            <w:tcW w:type="dxa" w:w="1607"/>
          </w:tcPr>
          <w:p>
            <w:pPr>
              <w:spacing w:after="0"/>
            </w:pPr>
            <w:r>
              <w:rPr>
                <w:sz w:val="19"/>
              </w:rPr>
              <w:t>51%</w:t>
            </w:r>
          </w:p>
        </w:tc>
        <w:tc>
          <w:tcPr>
            <w:tcW w:type="dxa" w:w="1607"/>
          </w:tcPr>
          <w:p>
            <w:pPr>
              <w:spacing w:after="0"/>
            </w:pPr>
            <w:r>
              <w:rPr>
                <w:sz w:val="19"/>
              </w:rPr>
              <w:t>51%</w:t>
            </w:r>
          </w:p>
        </w:tc>
      </w:tr>
    </w:tbl>
    <w:p>
      <w:pPr>
        <w:spacing w:after="40"/>
      </w:pPr>
    </w:p>
    <w:p>
      <w:r>
        <w:rPr/>
        <w:t>Within channels retention barely moved. The mix changed: a low-retention channel grew from 7% to 20% of new players.</w:t>
      </w:r>
    </w:p>
    <w:p>
      <w:r>
        <w:rPr/>
      </w:r>
      <w:r>
        <w:rPr>
          <w:b/>
        </w:rPr>
        <w:t>Step 3. Decompose the change.</w:t>
      </w:r>
      <w:r>
        <w:rPr/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Mix</w:t>
      </w:r>
      <w:r>
        <w:rPr/>
        <w:t xml:space="preserve"> = Σ (new share - old share) × old retention: what would have happened if only the shares had changed.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>
          <w:i/>
        </w:rPr>
        <w:t>Rate</w:t>
      </w:r>
      <w:r>
        <w:rPr/>
        <w:t xml:space="preserve"> = Σ old share × (new retention - old retention): what would have happened if only retention within channels had changed.</w:t>
      </w:r>
    </w:p>
    <w:p>
      <w:r>
        <w:rPr/>
        <w:t>In this example almost all of the drop (around 2.5 points) is the mix effect.</w:t>
      </w:r>
    </w:p>
    <w:p>
      <w:r>
        <w:rPr/>
      </w:r>
      <w:r>
        <w:rPr>
          <w:b/>
        </w:rPr>
        <w:t>Step 4. Standardise.</w:t>
      </w:r>
      <w:r>
        <w:rPr/>
        <w:t xml:space="preserve"> Recalculate each month's retention as if the channel shares had stayed at the March-April level. If that line is flat, the journey is fine.</w:t>
      </w:r>
    </w:p>
    <w:p>
      <w:pPr>
        <w:pStyle w:val="Heading2"/>
      </w:pPr>
      <w:r/>
      <w:r>
        <w:rPr/>
        <w:t>What I would do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Give paid social players their own onboarding:</w:t>
      </w:r>
      <w:r>
        <w:rPr/>
        <w:t xml:space="preserve"> a lighter first session, more product content in the first week, same bonus. Low-intent traffic that gets offered more money turns into bonus hunting.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A joint decision with the marketing team.</w:t>
      </w:r>
      <w:r>
        <w:rPr/>
        <w:t xml:space="preserve"> Paid social should be judged on M1 and 90-day NGR per player. Cost per first deposit says little here: a cheap FTD that never comes back isn't actually cheap.</w:t>
      </w:r>
    </w:p>
    <w:p>
      <w:pPr>
        <w:pStyle w:val="Heading2"/>
      </w:pPr>
      <w:r/>
      <w:r>
        <w:rPr/>
        <w:t>If it's not the mix</w:t>
      </w:r>
    </w:p>
    <w:p>
      <w:r>
        <w:rPr/>
        <w:t>Then we look further: failed payments and declined deposits, KYC issues, product outages, welcome offer changes, whether the journey is actually being sent (deliverability, broken triggers) and seasonality (the end of a big football tournament shifts sports retention every time).</w:t>
      </w:r>
    </w:p>
    <w:p>
      <w:pPr>
        <w:pStyle w:val="Heading2"/>
      </w:pPr>
      <w:r/>
      <w:r>
        <w:rPr/>
        <w:t>How I would measure the fix</w:t>
      </w:r>
    </w:p>
    <w:p>
      <w:r>
        <w:rPr/>
        <w:t>The paid social track goes into a 50/50 test against the current journey, among paid social players only. Primary KPI: M1 retention. Secondary: 30-day NGR per player.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