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Case 07 - Bonus cost up 35%, NGR flat</w:t>
      </w:r>
    </w:p>
    <w:p>
      <w:pPr>
        <w:spacing w:before="80" w:after="160"/>
        <w:ind w:left="227"/>
        <w:pBdr>
          <w:left w:val="single" w:sz="18" w:space="8" w:color="1F3A5F"/>
        </w:pBdr>
        <w:shd w:val="clear" w:color="auto" w:fill="F1F4F8"/>
      </w:pPr>
      <w:r>
        <w:rPr/>
      </w:r>
      <w:r>
        <w:rPr>
          <w:b/>
        </w:rPr>
        <w:t>In short:</w:t>
      </w:r>
      <w:r>
        <w:rPr/>
        <w:t xml:space="preserve"> find out which bonus programmes are actually measured, work out what each bonus really costs after wagering, and move money from "for everyone" bonuses to targeted and tested ones.</w:t>
      </w:r>
    </w:p>
    <w:p>
      <w:pPr>
        <w:pStyle w:val="Heading2"/>
      </w:pPr>
      <w:r/>
      <w:r>
        <w:rPr/>
        <w:t>Situation</w:t>
      </w:r>
    </w:p>
    <w:p>
      <w:r>
        <w:rPr>
          <w:i/>
        </w:rPr>
        <w:t>Made-up numbers for the exercise.</w:t>
      </w:r>
    </w:p>
    <w:p>
      <w:pPr>
        <w:tabs>
          <w:tab w:pos="397" w:val="left"/>
        </w:tabs>
        <w:spacing w:after="40"/>
        <w:ind w:left="397" w:hanging="283"/>
      </w:pPr>
      <w:r>
        <w:t>•</w:t>
        <w:tab/>
      </w:r>
      <w:r>
        <w:rPr/>
        <w:t>Bonus cost is up 35%, GGR and NGR aren't growing.</w:t>
      </w:r>
    </w:p>
    <w:p>
      <w:pPr>
        <w:tabs>
          <w:tab w:pos="397" w:val="left"/>
        </w:tabs>
        <w:spacing w:after="40"/>
        <w:ind w:left="397" w:hanging="283"/>
      </w:pPr>
      <w:r>
        <w:t>•</w:t>
        <w:tab/>
      </w:r>
      <w:r>
        <w:rPr/>
        <w:t>Bonus programmes: weekly VIP cashback, Friday reload for everyone, welcome bonus, win-back offers, free spins.</w:t>
      </w:r>
    </w:p>
    <w:p>
      <w:pPr>
        <w:tabs>
          <w:tab w:pos="397" w:val="left"/>
        </w:tabs>
        <w:spacing w:after="40"/>
        <w:ind w:left="397" w:hanging="283"/>
      </w:pPr>
      <w:r>
        <w:t>•</w:t>
        <w:tab/>
      </w:r>
      <w:r>
        <w:rPr/>
        <w:t>Welcome bonus wagering was recently cut from 35x to 10x to make the offer more attractive.</w:t>
      </w:r>
    </w:p>
    <w:p>
      <w:pPr>
        <w:pStyle w:val="Heading2"/>
      </w:pPr>
      <w:r/>
      <w:r>
        <w:rPr/>
        <w:t>How I approach it</w:t>
      </w:r>
    </w:p>
    <w:p>
      <w:r>
        <w:rPr/>
        <w:t>"More bonuses, same revenue" usually means one of four things:</w:t>
      </w:r>
    </w:p>
    <w:p>
      <w:pPr>
        <w:tabs>
          <w:tab w:pos="397" w:val="left"/>
        </w:tabs>
        <w:spacing w:after="40"/>
        <w:ind w:left="397" w:hanging="283"/>
      </w:pPr>
      <w:r>
        <w:t>1.</w:t>
        <w:tab/>
      </w:r>
      <w:r>
        <w:rPr/>
        <w:t>Bonuses go to players who would have deposited anyway.</w:t>
      </w:r>
    </w:p>
    <w:p>
      <w:pPr>
        <w:tabs>
          <w:tab w:pos="397" w:val="left"/>
        </w:tabs>
        <w:spacing w:after="40"/>
        <w:ind w:left="397" w:hanging="283"/>
      </w:pPr>
      <w:r>
        <w:t>2.</w:t>
        <w:tab/>
      </w:r>
      <w:r>
        <w:rPr/>
        <w:t>Everyone gets the same offer, including those who don't need it.</w:t>
      </w:r>
    </w:p>
    <w:p>
      <w:pPr>
        <w:tabs>
          <w:tab w:pos="397" w:val="left"/>
        </w:tabs>
        <w:spacing w:after="40"/>
        <w:ind w:left="397" w:hanging="283"/>
      </w:pPr>
      <w:r>
        <w:t>3.</w:t>
        <w:tab/>
      </w:r>
      <w:r>
        <w:rPr/>
        <w:t>The offer attracts people who take the bonus, play the minimum and leave.</w:t>
      </w:r>
    </w:p>
    <w:p>
      <w:pPr>
        <w:tabs>
          <w:tab w:pos="397" w:val="left"/>
        </w:tabs>
        <w:spacing w:after="40"/>
        <w:ind w:left="397" w:hanging="283"/>
      </w:pPr>
      <w:r>
        <w:t>4.</w:t>
        <w:tab/>
      </w:r>
      <w:r>
        <w:rPr/>
        <w:t>The bonus itself got more expensive.</w:t>
      </w:r>
    </w:p>
    <w:p>
      <w:pPr>
        <w:pStyle w:val="Heading2"/>
      </w:pPr>
      <w:r/>
      <w:r>
        <w:rPr/>
        <w:t>Step 1. P&amp;L per programme - a table</w:t>
      </w:r>
    </w:p>
    <w:tbl>
      <w:tblPr>
        <w:tblStyle w:val="TableGrid"/>
        <w:tblW w:type="auto" w:w="0"/>
        <w:jc w:val="center"/>
        <w:tblLayout w:type="fixed"/>
        <w:tblLook w:firstColumn="1" w:firstRow="1" w:lastColumn="0" w:lastRow="0" w:noHBand="0" w:noVBand="1" w:val="04A0"/>
      </w:tblPr>
      <w:tblGrid>
        <w:gridCol w:w="2056"/>
        <w:gridCol w:w="1731"/>
        <w:gridCol w:w="1731"/>
        <w:gridCol w:w="2163"/>
        <w:gridCol w:w="1731"/>
      </w:tblGrid>
      <w:tr>
        <w:tc>
          <w:tcPr>
            <w:tcW w:type="dxa" w:w="2056"/>
            <w:shd w:val="clear" w:color="auto" w:fill="DCE4EE"/>
          </w:tcPr>
          <w:p>
            <w:pPr>
              <w:spacing w:after="0"/>
            </w:pPr>
            <w:r>
              <w:rPr>
                <w:b/>
                <w:sz w:val="19"/>
              </w:rPr>
              <w:t>Programme</w:t>
            </w:r>
          </w:p>
        </w:tc>
        <w:tc>
          <w:tcPr>
            <w:tcW w:type="dxa" w:w="1731"/>
            <w:shd w:val="clear" w:color="auto" w:fill="DCE4EE"/>
          </w:tcPr>
          <w:p>
            <w:pPr>
              <w:spacing w:after="0"/>
            </w:pPr>
            <w:r>
              <w:rPr>
                <w:b/>
                <w:sz w:val="19"/>
              </w:rPr>
              <w:t>Cost</w:t>
            </w:r>
          </w:p>
        </w:tc>
        <w:tc>
          <w:tcPr>
            <w:tcW w:type="dxa" w:w="1731"/>
            <w:shd w:val="clear" w:color="auto" w:fill="DCE4EE"/>
          </w:tcPr>
          <w:p>
            <w:pPr>
              <w:spacing w:after="0"/>
            </w:pPr>
            <w:r>
              <w:rPr>
                <w:b/>
                <w:sz w:val="19"/>
              </w:rPr>
              <w:t>Share of total</w:t>
            </w:r>
          </w:p>
        </w:tc>
        <w:tc>
          <w:tcPr>
            <w:tcW w:type="dxa" w:w="2163"/>
            <w:shd w:val="clear" w:color="auto" w:fill="DCE4EE"/>
          </w:tcPr>
          <w:p>
            <w:pPr>
              <w:spacing w:after="0"/>
            </w:pPr>
            <w:r>
              <w:rPr>
                <w:b/>
                <w:sz w:val="19"/>
              </w:rPr>
              <w:t>How much of it became withdrawable money</w:t>
            </w:r>
          </w:p>
        </w:tc>
        <w:tc>
          <w:tcPr>
            <w:tcW w:type="dxa" w:w="1731"/>
            <w:shd w:val="clear" w:color="auto" w:fill="DCE4EE"/>
          </w:tcPr>
          <w:p>
            <w:pPr>
              <w:spacing w:after="0"/>
            </w:pPr>
            <w:r>
              <w:rPr>
                <w:b/>
                <w:sz w:val="19"/>
              </w:rPr>
              <w:t>Measured with a holdout?</w:t>
            </w:r>
          </w:p>
        </w:tc>
      </w:tr>
      <w:tr>
        <w:tc>
          <w:tcPr>
            <w:tcW w:type="dxa" w:w="2056"/>
          </w:tcPr>
          <w:p>
            <w:pPr>
              <w:spacing w:after="0"/>
            </w:pPr>
            <w:r>
              <w:rPr>
                <w:sz w:val="19"/>
              </w:rPr>
              <w:t>VIP cashback</w:t>
            </w:r>
          </w:p>
        </w:tc>
        <w:tc>
          <w:tcPr>
            <w:tcW w:type="dxa" w:w="1731"/>
          </w:tcPr>
          <w:p>
            <w:pPr>
              <w:spacing w:after="0"/>
            </w:pPr>
            <w:r>
              <w:rPr>
                <w:sz w:val="19"/>
              </w:rPr>
              <w:t>...</w:t>
            </w:r>
          </w:p>
        </w:tc>
        <w:tc>
          <w:tcPr>
            <w:tcW w:type="dxa" w:w="1731"/>
          </w:tcPr>
          <w:p>
            <w:pPr>
              <w:spacing w:after="0"/>
            </w:pPr>
            <w:r>
              <w:rPr>
                <w:sz w:val="19"/>
              </w:rPr>
              <w:t>...</w:t>
            </w:r>
          </w:p>
        </w:tc>
        <w:tc>
          <w:tcPr>
            <w:tcW w:type="dxa" w:w="2163"/>
          </w:tcPr>
          <w:p>
            <w:pPr>
              <w:spacing w:after="0"/>
            </w:pPr>
            <w:r>
              <w:rPr>
                <w:sz w:val="19"/>
              </w:rPr>
              <w:t>...</w:t>
            </w:r>
          </w:p>
        </w:tc>
        <w:tc>
          <w:tcPr>
            <w:tcW w:type="dxa" w:w="1731"/>
          </w:tcPr>
          <w:p>
            <w:pPr>
              <w:spacing w:after="0"/>
            </w:pPr>
            <w:r>
              <w:rPr>
                <w:sz w:val="19"/>
              </w:rPr>
              <w:t>?</w:t>
            </w:r>
          </w:p>
        </w:tc>
      </w:tr>
      <w:tr>
        <w:tc>
          <w:tcPr>
            <w:tcW w:type="dxa" w:w="2056"/>
          </w:tcPr>
          <w:p>
            <w:pPr>
              <w:spacing w:after="0"/>
            </w:pPr>
            <w:r>
              <w:rPr>
                <w:sz w:val="19"/>
              </w:rPr>
              <w:t>Friday reload</w:t>
            </w:r>
          </w:p>
        </w:tc>
        <w:tc>
          <w:tcPr>
            <w:tcW w:type="dxa" w:w="1731"/>
          </w:tcPr>
          <w:p>
            <w:pPr>
              <w:spacing w:after="0"/>
            </w:pPr>
            <w:r>
              <w:rPr>
                <w:sz w:val="19"/>
              </w:rPr>
              <w:t>...</w:t>
            </w:r>
          </w:p>
        </w:tc>
        <w:tc>
          <w:tcPr>
            <w:tcW w:type="dxa" w:w="1731"/>
          </w:tcPr>
          <w:p>
            <w:pPr>
              <w:spacing w:after="0"/>
            </w:pPr>
            <w:r>
              <w:rPr>
                <w:sz w:val="19"/>
              </w:rPr>
              <w:t>...</w:t>
            </w:r>
          </w:p>
        </w:tc>
        <w:tc>
          <w:tcPr>
            <w:tcW w:type="dxa" w:w="2163"/>
          </w:tcPr>
          <w:p>
            <w:pPr>
              <w:spacing w:after="0"/>
            </w:pPr>
            <w:r>
              <w:rPr>
                <w:sz w:val="19"/>
              </w:rPr>
              <w:t>...</w:t>
            </w:r>
          </w:p>
        </w:tc>
        <w:tc>
          <w:tcPr>
            <w:tcW w:type="dxa" w:w="1731"/>
          </w:tcPr>
          <w:p>
            <w:pPr>
              <w:spacing w:after="0"/>
            </w:pPr>
            <w:r>
              <w:rPr>
                <w:sz w:val="19"/>
              </w:rPr>
              <w:t>?</w:t>
            </w:r>
          </w:p>
        </w:tc>
      </w:tr>
      <w:tr>
        <w:tc>
          <w:tcPr>
            <w:tcW w:type="dxa" w:w="2056"/>
          </w:tcPr>
          <w:p>
            <w:pPr>
              <w:spacing w:after="0"/>
            </w:pPr>
            <w:r>
              <w:rPr>
                <w:sz w:val="19"/>
              </w:rPr>
              <w:t>Welcome</w:t>
            </w:r>
          </w:p>
        </w:tc>
        <w:tc>
          <w:tcPr>
            <w:tcW w:type="dxa" w:w="1731"/>
          </w:tcPr>
          <w:p>
            <w:pPr>
              <w:spacing w:after="0"/>
            </w:pPr>
            <w:r>
              <w:rPr>
                <w:sz w:val="19"/>
              </w:rPr>
              <w:t>...</w:t>
            </w:r>
          </w:p>
        </w:tc>
        <w:tc>
          <w:tcPr>
            <w:tcW w:type="dxa" w:w="1731"/>
          </w:tcPr>
          <w:p>
            <w:pPr>
              <w:spacing w:after="0"/>
            </w:pPr>
            <w:r>
              <w:rPr>
                <w:sz w:val="19"/>
              </w:rPr>
              <w:t>...</w:t>
            </w:r>
          </w:p>
        </w:tc>
        <w:tc>
          <w:tcPr>
            <w:tcW w:type="dxa" w:w="2163"/>
          </w:tcPr>
          <w:p>
            <w:pPr>
              <w:spacing w:after="0"/>
            </w:pPr>
            <w:r>
              <w:rPr>
                <w:sz w:val="19"/>
              </w:rPr>
              <w:t>...</w:t>
            </w:r>
          </w:p>
        </w:tc>
        <w:tc>
          <w:tcPr>
            <w:tcW w:type="dxa" w:w="1731"/>
          </w:tcPr>
          <w:p>
            <w:pPr>
              <w:spacing w:after="0"/>
            </w:pPr>
            <w:r>
              <w:rPr>
                <w:sz w:val="19"/>
              </w:rPr>
              <w:t>?</w:t>
            </w:r>
          </w:p>
        </w:tc>
      </w:tr>
      <w:tr>
        <w:tc>
          <w:tcPr>
            <w:tcW w:type="dxa" w:w="2056"/>
          </w:tcPr>
          <w:p>
            <w:pPr>
              <w:spacing w:after="0"/>
            </w:pPr>
            <w:r>
              <w:rPr>
                <w:sz w:val="19"/>
              </w:rPr>
              <w:t>Win-back</w:t>
            </w:r>
          </w:p>
        </w:tc>
        <w:tc>
          <w:tcPr>
            <w:tcW w:type="dxa" w:w="1731"/>
          </w:tcPr>
          <w:p>
            <w:pPr>
              <w:spacing w:after="0"/>
            </w:pPr>
            <w:r>
              <w:rPr>
                <w:sz w:val="19"/>
              </w:rPr>
              <w:t>...</w:t>
            </w:r>
          </w:p>
        </w:tc>
        <w:tc>
          <w:tcPr>
            <w:tcW w:type="dxa" w:w="1731"/>
          </w:tcPr>
          <w:p>
            <w:pPr>
              <w:spacing w:after="0"/>
            </w:pPr>
            <w:r>
              <w:rPr>
                <w:sz w:val="19"/>
              </w:rPr>
              <w:t>...</w:t>
            </w:r>
          </w:p>
        </w:tc>
        <w:tc>
          <w:tcPr>
            <w:tcW w:type="dxa" w:w="2163"/>
          </w:tcPr>
          <w:p>
            <w:pPr>
              <w:spacing w:after="0"/>
            </w:pPr>
            <w:r>
              <w:rPr>
                <w:sz w:val="19"/>
              </w:rPr>
              <w:t>...</w:t>
            </w:r>
          </w:p>
        </w:tc>
        <w:tc>
          <w:tcPr>
            <w:tcW w:type="dxa" w:w="1731"/>
          </w:tcPr>
          <w:p>
            <w:pPr>
              <w:spacing w:after="0"/>
            </w:pPr>
            <w:r>
              <w:rPr>
                <w:sz w:val="19"/>
              </w:rPr>
              <w:t>?</w:t>
            </w:r>
          </w:p>
        </w:tc>
      </w:tr>
    </w:tbl>
    <w:p>
      <w:pPr>
        <w:spacing w:after="40"/>
      </w:pPr>
    </w:p>
    <w:p>
      <w:pPr>
        <w:pStyle w:val="Heading2"/>
      </w:pPr>
      <w:r/>
      <w:r>
        <w:rPr/>
        <w:t>Step 2. Work out what a bonus really costs</w:t>
      </w:r>
    </w:p>
    <w:p>
      <w:pPr>
        <w:tabs>
          <w:tab w:pos="397" w:val="left"/>
        </w:tabs>
        <w:spacing w:after="40"/>
        <w:ind w:left="397" w:hanging="283"/>
      </w:pPr>
      <w:r>
        <w:t>•</w:t>
        <w:tab/>
      </w:r>
      <w:r>
        <w:rPr/>
        <w:t>Accounting cost: the amount of bonuses granted or used. This is what gets subtracted from GGR when calculating NGR.</w:t>
      </w:r>
    </w:p>
    <w:p>
      <w:pPr>
        <w:tabs>
          <w:tab w:pos="397" w:val="left"/>
        </w:tabs>
        <w:spacing w:after="40"/>
        <w:ind w:left="397" w:hanging="283"/>
      </w:pPr>
      <w:r>
        <w:t>•</w:t>
        <w:tab/>
      </w:r>
      <w:r>
        <w:rPr/>
        <w:t>How much of the bonus turned into money the player can withdraw.</w:t>
      </w:r>
    </w:p>
    <w:p>
      <w:r>
        <w:rPr/>
        <w:t>The second number is driven by wagering. While a player wagers through a bonus, the house edge eats part of the amount on every bet.</w:t>
      </w:r>
    </w:p>
    <w:p>
      <w:r>
        <w:rPr/>
        <w:t>Cutting wagering from 35x to 10x could have made the welcome offer several times more expensive per player and more attractive to bonus hunters.</w:t>
      </w:r>
    </w:p>
    <w:p>
      <w:r>
        <w:rPr/>
        <w:t>A simple example. A €100 bonus, wagered on slots with 96% RTP, i.e. the casino keeps 4% of each bet on average.</w:t>
      </w:r>
    </w:p>
    <w:p>
      <w:pPr>
        <w:tabs>
          <w:tab w:pos="397" w:val="left"/>
        </w:tabs>
        <w:spacing w:after="40"/>
        <w:ind w:left="397" w:hanging="283"/>
      </w:pPr>
      <w:r>
        <w:t>•</w:t>
        <w:tab/>
      </w:r>
      <w:r>
        <w:rPr/>
        <w:t>35x: you need to bet €3,500, and on average you lose €140 doing it. That's more than the bonus itself, so few players get as far as withdrawing bonus money, and the real cost of the bonus to the casino is small.</w:t>
      </w:r>
    </w:p>
    <w:p>
      <w:pPr>
        <w:tabs>
          <w:tab w:pos="397" w:val="left"/>
        </w:tabs>
        <w:spacing w:after="40"/>
        <w:ind w:left="397" w:hanging="283"/>
      </w:pPr>
      <w:r>
        <w:t>•</w:t>
        <w:tab/>
      </w:r>
      <w:r>
        <w:rPr/>
        <w:t>10x: you need to bet €1,000, and on average you lose €40. Around €60 of the €100 bonus can become money the player withdraws.</w:t>
      </w:r>
    </w:p>
    <w:p>
      <w:r>
        <w:rPr/>
        <w:t>With the same bonus size, its real cost went from almost zero to ~€60 per player. It's a simplification: it ignores variance and players who lost earlier. But the order of magnitude is clear.</w:t>
      </w:r>
    </w:p>
    <w:p>
      <w:pPr>
        <w:pStyle w:val="Heading2"/>
      </w:pPr>
      <w:r/>
      <w:r>
        <w:rPr/>
        <w:t>Step 3. Look for "cannibalisation" and bonus dependency</w:t>
      </w:r>
    </w:p>
    <w:p>
      <w:pPr>
        <w:tabs>
          <w:tab w:pos="397" w:val="left"/>
        </w:tabs>
        <w:spacing w:after="40"/>
        <w:ind w:left="397" w:hanging="283"/>
      </w:pPr>
      <w:r>
        <w:t>•</w:t>
        <w:tab/>
      </w:r>
      <w:r>
        <w:rPr/>
      </w:r>
      <w:r>
        <w:rPr>
          <w:b/>
        </w:rPr>
        <w:t>Reload:</w:t>
      </w:r>
      <w:r>
        <w:rPr/>
        <w:t xml:space="preserve"> what share of reload spend goes to players who deposited almost every Friday before they ever got a reload?</w:t>
      </w:r>
    </w:p>
    <w:p>
      <w:pPr>
        <w:tabs>
          <w:tab w:pos="397" w:val="left"/>
        </w:tabs>
        <w:spacing w:after="40"/>
        <w:ind w:left="397" w:hanging="283"/>
      </w:pPr>
      <w:r>
        <w:t>•</w:t>
        <w:tab/>
      </w:r>
      <w:r>
        <w:rPr/>
      </w:r>
      <w:r>
        <w:rPr>
          <w:b/>
        </w:rPr>
        <w:t>Bonus dependency:</w:t>
      </w:r>
      <w:r>
        <w:rPr/>
        <w:t xml:space="preserve"> players whose bonuses make up a large share of their own deposits.</w:t>
      </w:r>
    </w:p>
    <w:p>
      <w:pPr>
        <w:tabs>
          <w:tab w:pos="397" w:val="left"/>
        </w:tabs>
        <w:spacing w:after="40"/>
        <w:ind w:left="397" w:hanging="283"/>
      </w:pPr>
      <w:r>
        <w:t>•</w:t>
        <w:tab/>
      </w:r>
      <w:r>
        <w:rPr/>
      </w:r>
      <w:r>
        <w:rPr>
          <w:b/>
        </w:rPr>
        <w:t>Welcome bonus:</w:t>
      </w:r>
      <w:r>
        <w:rPr/>
        <w:t xml:space="preserve"> after the wagering change, did the share of players who make one deposit, wager the bonus and withdraw go up?</w:t>
      </w:r>
    </w:p>
    <w:p>
      <w:pPr>
        <w:pStyle w:val="Heading2"/>
      </w:pPr>
      <w:r/>
      <w:r>
        <w:rPr/>
        <w:t>What I would do</w:t>
      </w:r>
    </w:p>
    <w:p>
      <w:pPr>
        <w:tabs>
          <w:tab w:pos="397" w:val="left"/>
        </w:tabs>
        <w:spacing w:after="40"/>
        <w:ind w:left="397" w:hanging="283"/>
      </w:pPr>
      <w:r>
        <w:t>1.</w:t>
        <w:tab/>
      </w:r>
      <w:r>
        <w:rPr/>
      </w:r>
      <w:r>
        <w:rPr>
          <w:b/>
        </w:rPr>
        <w:t>First, a holdout on the biggest untested programme.</w:t>
      </w:r>
      <w:r>
        <w:rPr/>
        <w:t xml:space="preserve"> Usually that's VIP cashback: 10% of VIPs without cashback for a quarter, judged on VIP retention and NGR.</w:t>
      </w:r>
    </w:p>
    <w:p>
      <w:pPr>
        <w:tabs>
          <w:tab w:pos="397" w:val="left"/>
        </w:tabs>
        <w:spacing w:after="40"/>
        <w:ind w:left="397" w:hanging="283"/>
      </w:pPr>
      <w:r>
        <w:t>2.</w:t>
        <w:tab/>
      </w:r>
      <w:r>
        <w:rPr/>
      </w:r>
      <w:r>
        <w:rPr>
          <w:b/>
        </w:rPr>
        <w:t>Replace the "for everyone" reload for players who deposit regularly anyway</w:t>
      </w:r>
      <w:r>
        <w:rPr/>
        <w:t xml:space="preserve"> with non-monetary recognition, with a 50/50 non-inferiority test: roll it out only if their deposits don't drop.</w:t>
      </w:r>
    </w:p>
    <w:p>
      <w:pPr>
        <w:tabs>
          <w:tab w:pos="397" w:val="left"/>
        </w:tabs>
        <w:spacing w:after="40"/>
        <w:ind w:left="397" w:hanging="283"/>
      </w:pPr>
      <w:r>
        <w:t>3.</w:t>
        <w:tab/>
      </w:r>
      <w:r>
        <w:rPr/>
      </w:r>
      <w:r>
        <w:rPr>
          <w:b/>
        </w:rPr>
        <w:t>Fix the welcome bonus economics:</w:t>
      </w:r>
      <w:r>
        <w:rPr/>
        <w:t xml:space="preserve"> lower the maximum amount or move part of it into free spins with a win cap; pass the "one deposit and withdraw" pattern to the anti-abuse rules.</w:t>
      </w:r>
    </w:p>
    <w:p>
      <w:pPr>
        <w:tabs>
          <w:tab w:pos="397" w:val="left"/>
        </w:tabs>
        <w:spacing w:after="40"/>
        <w:ind w:left="397" w:hanging="283"/>
      </w:pPr>
      <w:r>
        <w:t>4.</w:t>
        <w:tab/>
      </w:r>
      <w:r>
        <w:rPr/>
      </w:r>
      <w:r>
        <w:rPr>
          <w:b/>
        </w:rPr>
        <w:t>Show two cost numbers for every bonus,</w:t>
      </w:r>
      <w:r>
        <w:rPr/>
        <w:t xml:space="preserve"> accounting cost and conversion into cash, so people see the real outflow.</w:t>
      </w:r>
    </w:p>
    <w:p>
      <w:pPr>
        <w:pStyle w:val="Heading2"/>
      </w:pPr>
      <w:r/>
      <w:r>
        <w:rPr/>
        <w:t>How I would measure it</w:t>
      </w:r>
    </w:p>
    <w:p>
      <w:pPr>
        <w:tabs>
          <w:tab w:pos="397" w:val="left"/>
        </w:tabs>
        <w:spacing w:after="40"/>
        <w:ind w:left="397" w:hanging="283"/>
      </w:pPr>
      <w:r>
        <w:t>•</w:t>
        <w:tab/>
      </w:r>
      <w:r>
        <w:rPr/>
        <w:t xml:space="preserve">Primary metric for each bonus programme: </w:t>
      </w:r>
      <w:r>
        <w:rPr>
          <w:b/>
        </w:rPr>
        <w:t>incremental NGR</w:t>
      </w:r>
      <w:r>
        <w:rPr/>
        <w:t xml:space="preserve"> against a control group.</w:t>
      </w:r>
    </w:p>
    <w:p>
      <w:pPr>
        <w:tabs>
          <w:tab w:pos="397" w:val="left"/>
        </w:tabs>
        <w:spacing w:after="40"/>
        <w:ind w:left="397" w:hanging="283"/>
      </w:pPr>
      <w:r>
        <w:t>•</w:t>
        <w:tab/>
      </w:r>
      <w:r>
        <w:rPr/>
        <w:t>Bonus cost share (bonus cost / GGR) by programme.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