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Onboarding: sign-up -&gt; first deposit</w:t>
      </w:r>
    </w:p>
    <w:p>
      <w:pPr>
        <w:pStyle w:val="Heading2"/>
      </w:pPr>
      <w:r/>
      <w:r>
        <w:rPr/>
        <w:t>Problem</w:t>
      </w:r>
    </w:p>
    <w:p>
      <w:r>
        <w:rPr/>
        <w:t>Most people who register never make a deposit. The first days decide everything: interest is highest right after sign-up and fades fast. Often the problem is that verification drags on or the payment doesn't go through.</w:t>
      </w:r>
    </w:p>
    <w:p>
      <w:pPr>
        <w:pStyle w:val="Heading2"/>
      </w:pPr>
      <w:r/>
      <w:r>
        <w:rPr/>
        <w:t>Audience and exclusions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Entry:</w:t>
      </w:r>
      <w:r>
        <w:rPr/>
        <w:t xml:space="preserve"> </w:t>
      </w:r>
      <w:r>
        <w:rPr>
          <w:rFonts w:ascii="Consolas" w:hAnsi="Consolas"/>
          <w:color w:val="552B00"/>
          <w:sz w:val="19"/>
        </w:rPr>
        <w:t>signup</w:t>
      </w:r>
      <w:r>
        <w:rPr/>
        <w:t xml:space="preserve"> event.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Exit:</w:t>
      </w:r>
      <w:r>
        <w:rPr/>
        <w:t xml:space="preserve"> first deposit, self-exclusion, day 7.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Excluded from promo steps:</w:t>
      </w:r>
      <w:r>
        <w:rPr/>
        <w:t xml:space="preserve"> no consent for the channel; identity or age not verified where the market requires it before play.</w:t>
      </w:r>
    </w:p>
    <w:p>
      <w:pPr>
        <w:pStyle w:val="Heading2"/>
      </w:pPr>
      <w:r/>
      <w:r>
        <w:rPr/>
        <w:t>Journey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8"/>
        <w:gridCol w:w="1238"/>
        <w:gridCol w:w="4633"/>
        <w:gridCol w:w="2302"/>
      </w:tblGrid>
      <w:tr>
        <w:tc>
          <w:tcPr>
            <w:tcW w:type="dxa" w:w="123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type="dxa" w:w="123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Channel</w:t>
            </w:r>
          </w:p>
        </w:tc>
        <w:tc>
          <w:tcPr>
            <w:tcW w:type="dxa" w:w="4633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Message</w:t>
            </w:r>
          </w:p>
        </w:tc>
        <w:tc>
          <w:tcPr>
            <w:tcW w:type="dxa" w:w="2302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Condition</w:t>
            </w:r>
          </w:p>
        </w:tc>
      </w:tr>
      <w:tr>
        <w:tc>
          <w:tcPr>
            <w:tcW w:type="dxa" w:w="1238"/>
          </w:tcPr>
          <w:p>
            <w:pPr>
              <w:spacing w:after="0"/>
            </w:pPr>
            <w:r>
              <w:rPr>
                <w:sz w:val="19"/>
              </w:rPr>
              <w:t>0 min</w:t>
            </w:r>
          </w:p>
        </w:tc>
        <w:tc>
          <w:tcPr>
            <w:tcW w:type="dxa" w:w="1238"/>
          </w:tcPr>
          <w:p>
            <w:pPr>
              <w:spacing w:after="0"/>
            </w:pPr>
            <w:r>
              <w:rPr>
                <w:sz w:val="19"/>
              </w:rPr>
              <w:t>Email</w:t>
            </w:r>
          </w:p>
        </w:tc>
        <w:tc>
          <w:tcPr>
            <w:tcW w:type="dxa" w:w="4633"/>
          </w:tcPr>
          <w:p>
            <w:pPr>
              <w:spacing w:after="0"/>
            </w:pPr>
            <w:r>
              <w:rPr>
                <w:sz w:val="19"/>
              </w:rPr>
              <w:t>Welcome: what happens next (verification -&gt; getting to know the product -&gt; deposit)</w:t>
            </w:r>
          </w:p>
        </w:tc>
        <w:tc>
          <w:tcPr>
            <w:tcW w:type="dxa" w:w="2302"/>
          </w:tcPr>
          <w:p>
            <w:pPr>
              <w:spacing w:after="0"/>
            </w:pPr>
            <w:r>
              <w:rPr>
                <w:sz w:val="19"/>
              </w:rPr>
              <w:t>everyone</w:t>
            </w:r>
          </w:p>
        </w:tc>
      </w:tr>
      <w:tr>
        <w:tc>
          <w:tcPr>
            <w:tcW w:type="dxa" w:w="1238"/>
          </w:tcPr>
          <w:p>
            <w:pPr>
              <w:spacing w:after="0"/>
            </w:pPr>
            <w:r>
              <w:rPr>
                <w:sz w:val="19"/>
              </w:rPr>
              <w:t>+10 min</w:t>
            </w:r>
          </w:p>
        </w:tc>
        <w:tc>
          <w:tcPr>
            <w:tcW w:type="dxa" w:w="1238"/>
          </w:tcPr>
          <w:p>
            <w:pPr>
              <w:spacing w:after="0"/>
            </w:pPr>
            <w:r>
              <w:rPr>
                <w:sz w:val="19"/>
              </w:rPr>
              <w:t>In-app</w:t>
            </w:r>
          </w:p>
        </w:tc>
        <w:tc>
          <w:tcPr>
            <w:tcW w:type="dxa" w:w="4633"/>
          </w:tcPr>
          <w:p>
            <w:pPr>
              <w:spacing w:after="0"/>
            </w:pPr>
            <w:r>
              <w:rPr>
                <w:sz w:val="19"/>
              </w:rPr>
              <w:t>Complete your profile</w:t>
            </w:r>
          </w:p>
        </w:tc>
        <w:tc>
          <w:tcPr>
            <w:tcW w:type="dxa" w:w="2302"/>
          </w:tcPr>
          <w:p>
            <w:pPr>
              <w:spacing w:after="0"/>
            </w:pPr>
            <w:r>
              <w:rPr>
                <w:sz w:val="19"/>
              </w:rPr>
              <w:t>profile not complete</w:t>
            </w:r>
          </w:p>
        </w:tc>
      </w:tr>
      <w:tr>
        <w:tc>
          <w:tcPr>
            <w:tcW w:type="dxa" w:w="1238"/>
          </w:tcPr>
          <w:p>
            <w:pPr>
              <w:spacing w:after="0"/>
            </w:pPr>
            <w:r>
              <w:rPr>
                <w:sz w:val="19"/>
              </w:rPr>
              <w:t>+2 h</w:t>
            </w:r>
          </w:p>
        </w:tc>
        <w:tc>
          <w:tcPr>
            <w:tcW w:type="dxa" w:w="1238"/>
          </w:tcPr>
          <w:p>
            <w:pPr>
              <w:spacing w:after="0"/>
            </w:pPr>
            <w:r>
              <w:rPr>
                <w:sz w:val="19"/>
              </w:rPr>
              <w:t>Email</w:t>
            </w:r>
          </w:p>
        </w:tc>
        <w:tc>
          <w:tcPr>
            <w:tcW w:type="dxa" w:w="4633"/>
          </w:tcPr>
          <w:p>
            <w:pPr>
              <w:spacing w:after="0"/>
            </w:pPr>
            <w:r>
              <w:rPr>
                <w:sz w:val="19"/>
              </w:rPr>
              <w:t>Verification in 5 minutes: how to do it, which documents work</w:t>
            </w:r>
          </w:p>
        </w:tc>
        <w:tc>
          <w:tcPr>
            <w:tcW w:type="dxa" w:w="2302"/>
          </w:tcPr>
          <w:p>
            <w:pPr>
              <w:spacing w:after="0"/>
            </w:pPr>
            <w:r>
              <w:rPr>
                <w:sz w:val="19"/>
              </w:rPr>
              <w:t>not verified</w:t>
            </w:r>
          </w:p>
        </w:tc>
      </w:tr>
      <w:tr>
        <w:tc>
          <w:tcPr>
            <w:tcW w:type="dxa" w:w="1238"/>
          </w:tcPr>
          <w:p>
            <w:pPr>
              <w:spacing w:after="0"/>
            </w:pPr>
            <w:r>
              <w:rPr>
                <w:sz w:val="19"/>
              </w:rPr>
              <w:t>+24 h</w:t>
            </w:r>
          </w:p>
        </w:tc>
        <w:tc>
          <w:tcPr>
            <w:tcW w:type="dxa" w:w="1238"/>
          </w:tcPr>
          <w:p>
            <w:pPr>
              <w:spacing w:after="0"/>
            </w:pPr>
            <w:r>
              <w:rPr>
                <w:sz w:val="19"/>
              </w:rPr>
              <w:t>Email / push</w:t>
            </w:r>
          </w:p>
        </w:tc>
        <w:tc>
          <w:tcPr>
            <w:tcW w:type="dxa" w:w="4633"/>
          </w:tcPr>
          <w:p>
            <w:pPr>
              <w:spacing w:after="0"/>
            </w:pPr>
            <w:r>
              <w:rPr>
                <w:sz w:val="19"/>
              </w:rPr>
              <w:t>Verification reminder with a link to support</w:t>
            </w:r>
          </w:p>
        </w:tc>
        <w:tc>
          <w:tcPr>
            <w:tcW w:type="dxa" w:w="2302"/>
          </w:tcPr>
          <w:p>
            <w:pPr>
              <w:spacing w:after="0"/>
            </w:pPr>
            <w:r>
              <w:rPr>
                <w:sz w:val="19"/>
              </w:rPr>
              <w:t>still under review</w:t>
            </w:r>
          </w:p>
        </w:tc>
      </w:tr>
      <w:tr>
        <w:tc>
          <w:tcPr>
            <w:tcW w:type="dxa" w:w="1238"/>
          </w:tcPr>
          <w:p>
            <w:pPr>
              <w:spacing w:after="0"/>
            </w:pPr>
            <w:r>
              <w:rPr>
                <w:sz w:val="19"/>
              </w:rPr>
              <w:t>Day 1</w:t>
            </w:r>
          </w:p>
        </w:tc>
        <w:tc>
          <w:tcPr>
            <w:tcW w:type="dxa" w:w="1238"/>
          </w:tcPr>
          <w:p>
            <w:pPr>
              <w:spacing w:after="0"/>
            </w:pPr>
            <w:r>
              <w:rPr>
                <w:sz w:val="19"/>
              </w:rPr>
              <w:t>Email + in-app</w:t>
            </w:r>
          </w:p>
        </w:tc>
        <w:tc>
          <w:tcPr>
            <w:tcW w:type="dxa" w:w="4633"/>
          </w:tcPr>
          <w:p>
            <w:pPr>
              <w:spacing w:after="0"/>
            </w:pPr>
            <w:r>
              <w:rPr>
                <w:sz w:val="19"/>
              </w:rPr>
              <w:t>Games or markets popular in their country</w:t>
            </w:r>
          </w:p>
        </w:tc>
        <w:tc>
          <w:tcPr>
            <w:tcW w:type="dxa" w:w="2302"/>
          </w:tcPr>
          <w:p>
            <w:pPr>
              <w:spacing w:after="0"/>
            </w:pPr>
            <w:r>
              <w:rPr>
                <w:sz w:val="19"/>
              </w:rPr>
              <w:t>verified</w:t>
            </w:r>
          </w:p>
        </w:tc>
      </w:tr>
      <w:tr>
        <w:tc>
          <w:tcPr>
            <w:tcW w:type="dxa" w:w="1238"/>
          </w:tcPr>
          <w:p>
            <w:pPr>
              <w:spacing w:after="0"/>
            </w:pPr>
            <w:r>
              <w:rPr>
                <w:sz w:val="19"/>
              </w:rPr>
              <w:t>Day 2</w:t>
            </w:r>
          </w:p>
        </w:tc>
        <w:tc>
          <w:tcPr>
            <w:tcW w:type="dxa" w:w="1238"/>
          </w:tcPr>
          <w:p>
            <w:pPr>
              <w:spacing w:after="0"/>
            </w:pPr>
            <w:r>
              <w:rPr>
                <w:sz w:val="19"/>
              </w:rPr>
              <w:t>In-app</w:t>
            </w:r>
          </w:p>
        </w:tc>
        <w:tc>
          <w:tcPr>
            <w:tcW w:type="dxa" w:w="4633"/>
          </w:tcPr>
          <w:p>
            <w:pPr>
              <w:spacing w:after="0"/>
            </w:pPr>
            <w:r>
              <w:rPr>
                <w:sz w:val="19"/>
              </w:rPr>
              <w:t>Try a demo game</w:t>
            </w:r>
          </w:p>
        </w:tc>
        <w:tc>
          <w:tcPr>
            <w:tcW w:type="dxa" w:w="2302"/>
          </w:tcPr>
          <w:p>
            <w:pPr>
              <w:spacing w:after="0"/>
            </w:pPr>
            <w:r>
              <w:rPr>
                <w:sz w:val="19"/>
              </w:rPr>
              <w:t>verified, interested in casino</w:t>
            </w:r>
          </w:p>
        </w:tc>
      </w:tr>
      <w:tr>
        <w:tc>
          <w:tcPr>
            <w:tcW w:type="dxa" w:w="1238"/>
          </w:tcPr>
          <w:p>
            <w:pPr>
              <w:spacing w:after="0"/>
            </w:pPr>
            <w:r>
              <w:rPr>
                <w:sz w:val="19"/>
              </w:rPr>
              <w:t>Day 3</w:t>
            </w:r>
          </w:p>
        </w:tc>
        <w:tc>
          <w:tcPr>
            <w:tcW w:type="dxa" w:w="1238"/>
          </w:tcPr>
          <w:p>
            <w:pPr>
              <w:spacing w:after="0"/>
            </w:pPr>
            <w:r>
              <w:rPr>
                <w:sz w:val="19"/>
              </w:rPr>
              <w:t>Email</w:t>
            </w:r>
          </w:p>
        </w:tc>
        <w:tc>
          <w:tcPr>
            <w:tcW w:type="dxa" w:w="4633"/>
          </w:tcPr>
          <w:p>
            <w:pPr>
              <w:spacing w:after="0"/>
            </w:pPr>
            <w:r>
              <w:rPr>
                <w:sz w:val="19"/>
              </w:rPr>
              <w:t>Welcome offer with key terms</w:t>
            </w:r>
          </w:p>
        </w:tc>
        <w:tc>
          <w:tcPr>
            <w:tcW w:type="dxa" w:w="2302"/>
          </w:tcPr>
          <w:p>
            <w:pPr>
              <w:spacing w:after="0"/>
            </w:pPr>
            <w:r>
              <w:rPr>
                <w:sz w:val="19"/>
              </w:rPr>
              <w:t>consent for this product</w:t>
            </w:r>
          </w:p>
        </w:tc>
      </w:tr>
      <w:tr>
        <w:tc>
          <w:tcPr>
            <w:tcW w:type="dxa" w:w="1238"/>
          </w:tcPr>
          <w:p>
            <w:pPr>
              <w:spacing w:after="0"/>
            </w:pPr>
            <w:r>
              <w:rPr>
                <w:sz w:val="19"/>
              </w:rPr>
              <w:t>Day 5</w:t>
            </w:r>
          </w:p>
        </w:tc>
        <w:tc>
          <w:tcPr>
            <w:tcW w:type="dxa" w:w="1238"/>
          </w:tcPr>
          <w:p>
            <w:pPr>
              <w:spacing w:after="0"/>
            </w:pPr>
            <w:r>
              <w:rPr>
                <w:sz w:val="19"/>
              </w:rPr>
              <w:t>SMS</w:t>
            </w:r>
          </w:p>
        </w:tc>
        <w:tc>
          <w:tcPr>
            <w:tcW w:type="dxa" w:w="4633"/>
          </w:tcPr>
          <w:p>
            <w:pPr>
              <w:spacing w:after="0"/>
            </w:pPr>
            <w:r>
              <w:rPr>
                <w:sz w:val="19"/>
              </w:rPr>
              <w:t>A calm reminder about the welcome offer</w:t>
            </w:r>
          </w:p>
        </w:tc>
        <w:tc>
          <w:tcPr>
            <w:tcW w:type="dxa" w:w="2302"/>
          </w:tcPr>
          <w:p>
            <w:pPr>
              <w:spacing w:after="0"/>
            </w:pPr>
            <w:r>
              <w:rPr>
                <w:sz w:val="19"/>
              </w:rPr>
              <w:t>SMS consent, no deposit yet</w:t>
            </w:r>
          </w:p>
        </w:tc>
      </w:tr>
      <w:tr>
        <w:tc>
          <w:tcPr>
            <w:tcW w:type="dxa" w:w="1238"/>
          </w:tcPr>
          <w:p>
            <w:pPr>
              <w:spacing w:after="0"/>
            </w:pPr>
            <w:r>
              <w:rPr>
                <w:sz w:val="19"/>
              </w:rPr>
              <w:t>Day 7</w:t>
            </w:r>
          </w:p>
        </w:tc>
        <w:tc>
          <w:tcPr>
            <w:tcW w:type="dxa" w:w="1238"/>
          </w:tcPr>
          <w:p>
            <w:pPr>
              <w:spacing w:after="0"/>
            </w:pPr>
          </w:p>
        </w:tc>
        <w:tc>
          <w:tcPr>
            <w:tcW w:type="dxa" w:w="4633"/>
          </w:tcPr>
          <w:p>
            <w:pPr>
              <w:spacing w:after="0"/>
            </w:pPr>
            <w:r>
              <w:rPr>
                <w:sz w:val="19"/>
              </w:rPr>
              <w:t>Exit -&gt; rare content sends (</w:t>
            </w:r>
            <w:r>
              <w:rPr>
                <w:i/>
                <w:sz w:val="19"/>
              </w:rPr>
              <w:t>Sleepers</w:t>
            </w:r>
            <w:r>
              <w:rPr>
                <w:sz w:val="19"/>
              </w:rPr>
              <w:t>)</w:t>
            </w:r>
          </w:p>
        </w:tc>
        <w:tc>
          <w:tcPr>
            <w:tcW w:type="dxa" w:w="2302"/>
          </w:tcPr>
          <w:p>
            <w:pPr>
              <w:spacing w:after="0"/>
            </w:pPr>
            <w:r>
              <w:rPr>
                <w:sz w:val="19"/>
              </w:rPr>
              <w:t>no deposit</w:t>
            </w:r>
          </w:p>
        </w:tc>
      </w:tr>
    </w:tbl>
    <w:p>
      <w:pPr>
        <w:spacing w:after="40"/>
      </w:pPr>
    </w:p>
    <w:p>
      <w:r>
        <w:rPr/>
        <w:t>Failed deposit at any step -&gt; exit into the "failed deposit recovery" journey.</w:t>
      </w:r>
    </w:p>
    <w:p>
      <w:pPr>
        <w:pStyle w:val="Heading2"/>
      </w:pPr>
      <w:r/>
      <w:r>
        <w:rPr/>
        <w:t>Offer rules</w:t>
      </w:r>
    </w:p>
    <w:p>
      <w:r>
        <w:rPr/>
        <w:t>A deposit bonus or a free bet with reasonable wagering, one product per offer. No boosted offer for people who haven't deposited yet: a big bonus mostly attracts people who came for the bonus.</w:t>
      </w:r>
    </w:p>
    <w:p>
      <w:pPr>
        <w:pStyle w:val="Heading2"/>
      </w:pPr>
      <w:r/>
      <w:r>
        <w:rPr/>
        <w:t>KPI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Primary:</w:t>
      </w:r>
      <w:r>
        <w:rPr/>
        <w:t xml:space="preserve"> first deposit within 7 days of sign-up.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Secondary:</w:t>
      </w:r>
      <w:r>
        <w:rPr/>
        <w:t xml:space="preserve"> share of verified players, time to first deposit, second deposit within 7 days of the first (quality of the new depositor).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Guardrails:</w:t>
      </w:r>
      <w:r>
        <w:rPr/>
        <w:t xml:space="preserve"> unsubscribes, share of new depositors later flagged as bonus abusers.</w:t>
      </w:r>
    </w:p>
    <w:p>
      <w:pPr>
        <w:pStyle w:val="Heading2"/>
      </w:pPr>
      <w:r/>
      <w:r>
        <w:rPr/>
        <w:t>Measurement</w:t>
      </w:r>
    </w:p>
    <w:p>
      <w:r>
        <w:rPr/>
        <w:t>Verification and transactional messages go to everyone. Promo steps have a 5-10% holdout. I read results by acquisition channel, because the channel mix shifts the overall number.</w:t>
      </w:r>
    </w:p>
    <w:p>
      <w:pPr>
        <w:pStyle w:val="Heading2"/>
      </w:pPr>
      <w:r/>
      <w:r>
        <w:rPr/>
        <w:t>Why it's built this way</w:t>
      </w:r>
    </w:p>
    <w:p>
      <w:r>
        <w:rPr/>
        <w:t>Verification first, because you can't sell anything to a player who can't deposit yet.</w:t>
      </w:r>
    </w:p>
    <w:p>
      <w:r>
        <w:rPr/>
        <w:t>Product before bonus, because a player who found a game they like deposits more willingly than one who came for €100 for free.</w:t>
      </w:r>
    </w:p>
    <w:p>
      <w:r>
        <w:rPr/>
        <w:t>Channels step up, because the cheap channels should do the work first, and only then the expensive ones.</w:t>
      </w:r>
    </w:p>
    <w:p>
      <w:r>
        <w:br w:type="page"/>
      </w:r>
    </w:p>
    <w:p>
      <w:pPr>
        <w:pStyle w:val="Heading2"/>
      </w:pPr>
      <w:r>
        <w:t>Appendix: workflow in Customer.io</w:t>
      </w:r>
    </w:p>
    <w:p>
      <w:r>
        <w:drawing>
          <wp:inline xmlns:a="http://schemas.openxmlformats.org/drawingml/2006/main" xmlns:pic="http://schemas.openxmlformats.org/drawingml/2006/picture">
            <wp:extent cx="4949557" cy="83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nboarding-to-ft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9557" cy="835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