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t>First deposit -&gt; second deposit</w:t>
      </w:r>
    </w:p>
    <w:p>
      <w:pPr>
        <w:spacing w:before="80" w:after="160"/>
        <w:ind w:left="227"/>
        <w:pBdr>
          <w:left w:val="single" w:sz="18" w:space="8" w:color="1F3A5F"/>
        </w:pBdr>
        <w:shd w:val="clear" w:color="auto" w:fill="F1F4F8"/>
      </w:pPr>
      <w:r>
        <w:rPr/>
      </w:r>
      <w:r>
        <w:rPr>
          <w:b/>
        </w:rPr>
        <w:t>In short:</w:t>
      </w:r>
      <w:r>
        <w:rPr/>
        <w:t xml:space="preserve"> the first week after the first deposit decides whether the player stays. The journey explains the bonus and wagering, gives a reason to come back without money, and only at the end, and only to those who didn't come back, offers a small reload. The goal is a second deposit (STD) within 7 days.</w:t>
      </w:r>
    </w:p>
    <w:p>
      <w:pPr>
        <w:pStyle w:val="Heading2"/>
      </w:pPr>
      <w:r/>
      <w:r>
        <w:rPr/>
        <w:t>Task</w:t>
      </w:r>
    </w:p>
    <w:p>
      <w:r>
        <w:rPr/>
        <w:t>The first deposit can be curiosity or bonus hunting. The second shows that the player liked the product enough to pay again. CRM teams usually treat STD as the earliest reliable sign of a player's future value. If the second deposit doesn't happen in the first days, it rarely happens later.</w:t>
      </w:r>
    </w:p>
    <w:p>
      <w:r>
        <w:rPr/>
      </w:r>
      <w:r>
        <w:rPr>
          <w:b/>
        </w:rPr>
        <w:t>Hypothesis:</w:t>
      </w:r>
      <w:r>
        <w:rPr/>
        <w:t xml:space="preserve"> a clear bonus, a first-week habit and personal recommendations lift STD more than an early reload, and cost less.</w:t>
      </w:r>
    </w:p>
    <w:p>
      <w:pPr>
        <w:pStyle w:val="Heading2"/>
      </w:pPr>
      <w:r/>
      <w:r>
        <w:rPr/>
        <w:t>Campaign card</w:t>
      </w:r>
    </w:p>
    <w:tbl>
      <w:tblPr>
        <w:tblStyle w:val="TableGrid"/>
        <w:tblW w:type="auto" w:w="0"/>
        <w:jc w:val="center"/>
        <w:tblLayout w:type="fixed"/>
        <w:tblLook w:firstColumn="1" w:firstRow="1" w:lastColumn="0" w:lastRow="0" w:noHBand="0" w:noVBand="1" w:val="04A0"/>
      </w:tblPr>
      <w:tblGrid>
        <w:gridCol w:w="1812"/>
        <w:gridCol w:w="7599"/>
      </w:tblGrid>
      <w:tr>
        <w:tc>
          <w:tcPr>
            <w:tcW w:type="dxa" w:w="1812"/>
            <w:shd w:val="clear" w:color="auto" w:fill="DCE4EE"/>
          </w:tcPr>
          <w:p>
            <w:pPr>
              <w:spacing w:after="0"/>
            </w:pPr>
            <w:r>
              <w:rPr>
                <w:b/>
                <w:sz w:val="19"/>
              </w:rPr>
              <w:t>Parameter</w:t>
            </w:r>
          </w:p>
        </w:tc>
        <w:tc>
          <w:tcPr>
            <w:tcW w:type="dxa" w:w="7599"/>
            <w:shd w:val="clear" w:color="auto" w:fill="DCE4EE"/>
          </w:tcPr>
          <w:p>
            <w:pPr>
              <w:spacing w:after="0"/>
            </w:pPr>
            <w:r>
              <w:rPr>
                <w:b/>
                <w:sz w:val="19"/>
              </w:rPr>
              <w:t>Value</w:t>
            </w:r>
          </w:p>
        </w:tc>
      </w:tr>
      <w:tr>
        <w:tc>
          <w:tcPr>
            <w:tcW w:type="dxa" w:w="1812"/>
          </w:tcPr>
          <w:p>
            <w:pPr>
              <w:spacing w:after="0"/>
            </w:pPr>
            <w:r>
              <w:rPr>
                <w:sz w:val="19"/>
              </w:rPr>
              <w:t>Type</w:t>
            </w:r>
          </w:p>
        </w:tc>
        <w:tc>
          <w:tcPr>
            <w:tcW w:type="dxa" w:w="7599"/>
          </w:tcPr>
          <w:p>
            <w:pPr>
              <w:spacing w:after="0"/>
            </w:pPr>
            <w:r>
              <w:rPr>
                <w:sz w:val="19"/>
              </w:rPr>
              <w:t>triggered, event-based</w:t>
            </w:r>
          </w:p>
        </w:tc>
      </w:tr>
      <w:tr>
        <w:tc>
          <w:tcPr>
            <w:tcW w:type="dxa" w:w="1812"/>
          </w:tcPr>
          <w:p>
            <w:pPr>
              <w:spacing w:after="0"/>
            </w:pPr>
            <w:r>
              <w:rPr>
                <w:sz w:val="19"/>
              </w:rPr>
              <w:t>Trigger</w:t>
            </w:r>
          </w:p>
        </w:tc>
        <w:tc>
          <w:tcPr>
            <w:tcW w:type="dxa" w:w="7599"/>
          </w:tcPr>
          <w:p>
            <w:pPr>
              <w:spacing w:after="0"/>
            </w:pPr>
            <w:r>
              <w:rPr>
                <w:rFonts w:ascii="Consolas" w:hAnsi="Consolas"/>
                <w:color w:val="552B00"/>
                <w:sz w:val="19"/>
              </w:rPr>
              <w:t>ftd_completed</w:t>
            </w:r>
          </w:p>
        </w:tc>
      </w:tr>
      <w:tr>
        <w:tc>
          <w:tcPr>
            <w:tcW w:type="dxa" w:w="1812"/>
          </w:tcPr>
          <w:p>
            <w:pPr>
              <w:spacing w:after="0"/>
            </w:pPr>
            <w:r>
              <w:rPr>
                <w:sz w:val="19"/>
              </w:rPr>
              <w:t>Re-entry</w:t>
            </w:r>
          </w:p>
        </w:tc>
        <w:tc>
          <w:tcPr>
            <w:tcW w:type="dxa" w:w="7599"/>
          </w:tcPr>
          <w:p>
            <w:pPr>
              <w:spacing w:after="0"/>
            </w:pPr>
            <w:r>
              <w:rPr>
                <w:sz w:val="19"/>
              </w:rPr>
              <w:t>no</w:t>
            </w:r>
          </w:p>
        </w:tc>
      </w:tr>
      <w:tr>
        <w:tc>
          <w:tcPr>
            <w:tcW w:type="dxa" w:w="1812"/>
          </w:tcPr>
          <w:p>
            <w:pPr>
              <w:spacing w:after="0"/>
            </w:pPr>
            <w:r>
              <w:rPr>
                <w:sz w:val="19"/>
              </w:rPr>
              <w:t>Goal (conversion)</w:t>
            </w:r>
          </w:p>
        </w:tc>
        <w:tc>
          <w:tcPr>
            <w:tcW w:type="dxa" w:w="7599"/>
          </w:tcPr>
          <w:p>
            <w:pPr>
              <w:spacing w:after="0"/>
            </w:pPr>
            <w:r>
              <w:rPr>
                <w:rFonts w:ascii="Consolas" w:hAnsi="Consolas"/>
                <w:color w:val="552B00"/>
                <w:sz w:val="19"/>
              </w:rPr>
              <w:t>deposit_made</w:t>
            </w:r>
            <w:r>
              <w:rPr>
                <w:sz w:val="19"/>
              </w:rPr>
              <w:t xml:space="preserve"> (second deposit) within 7 days</w:t>
            </w:r>
          </w:p>
        </w:tc>
      </w:tr>
      <w:tr>
        <w:tc>
          <w:tcPr>
            <w:tcW w:type="dxa" w:w="1812"/>
          </w:tcPr>
          <w:p>
            <w:pPr>
              <w:spacing w:after="0"/>
            </w:pPr>
            <w:r>
              <w:rPr>
                <w:sz w:val="19"/>
              </w:rPr>
              <w:t>Exit</w:t>
            </w:r>
          </w:p>
        </w:tc>
        <w:tc>
          <w:tcPr>
            <w:tcW w:type="dxa" w:w="7599"/>
          </w:tcPr>
          <w:p>
            <w:pPr>
              <w:spacing w:after="0"/>
            </w:pPr>
            <w:r>
              <w:rPr>
                <w:sz w:val="19"/>
              </w:rPr>
              <w:t xml:space="preserve">second deposit -&gt; </w:t>
            </w:r>
            <w:r>
              <w:rPr>
                <w:i/>
                <w:sz w:val="19"/>
              </w:rPr>
              <w:t>Priority</w:t>
            </w:r>
            <w:r>
              <w:rPr>
                <w:sz w:val="19"/>
              </w:rPr>
              <w:t xml:space="preserve"> (with a thank-you); self-exclusion, time-out or </w:t>
            </w:r>
            <w:r>
              <w:rPr>
                <w:rFonts w:ascii="Consolas" w:hAnsi="Consolas"/>
                <w:color w:val="552B00"/>
                <w:sz w:val="19"/>
              </w:rPr>
              <w:t>deposit_limit_hit</w:t>
            </w:r>
            <w:r>
              <w:rPr>
                <w:sz w:val="19"/>
              </w:rPr>
              <w:t xml:space="preserve"> -&gt; exit with no messages; 7 days without a deposit -&gt; </w:t>
            </w:r>
            <w:r>
              <w:rPr>
                <w:i/>
                <w:sz w:val="19"/>
              </w:rPr>
              <w:t>Cooling</w:t>
            </w:r>
          </w:p>
        </w:tc>
      </w:tr>
      <w:tr>
        <w:tc>
          <w:tcPr>
            <w:tcW w:type="dxa" w:w="1812"/>
          </w:tcPr>
          <w:p>
            <w:pPr>
              <w:spacing w:after="0"/>
            </w:pPr>
            <w:r>
              <w:rPr>
                <w:sz w:val="19"/>
              </w:rPr>
              <w:t>Priority</w:t>
            </w:r>
          </w:p>
        </w:tc>
        <w:tc>
          <w:tcPr>
            <w:tcW w:type="dxa" w:w="7599"/>
          </w:tcPr>
          <w:p>
            <w:pPr>
              <w:spacing w:after="0"/>
            </w:pPr>
            <w:r>
              <w:rPr>
                <w:sz w:val="19"/>
              </w:rPr>
              <w:t>same as onboarding: above reactivation and cross-sell</w:t>
            </w:r>
          </w:p>
        </w:tc>
      </w:tr>
      <w:tr>
        <w:tc>
          <w:tcPr>
            <w:tcW w:type="dxa" w:w="1812"/>
          </w:tcPr>
          <w:p>
            <w:pPr>
              <w:spacing w:after="0"/>
            </w:pPr>
            <w:r>
              <w:rPr>
                <w:sz w:val="19"/>
              </w:rPr>
              <w:t>Channels</w:t>
            </w:r>
          </w:p>
        </w:tc>
        <w:tc>
          <w:tcPr>
            <w:tcW w:type="dxa" w:w="7599"/>
          </w:tcPr>
          <w:p>
            <w:pPr>
              <w:spacing w:after="0"/>
            </w:pPr>
            <w:r>
              <w:rPr>
                <w:sz w:val="19"/>
              </w:rPr>
              <w:t>email, in-app, push, SMS (once, at the end)</w:t>
            </w:r>
          </w:p>
        </w:tc>
      </w:tr>
      <w:tr>
        <w:tc>
          <w:tcPr>
            <w:tcW w:type="dxa" w:w="1812"/>
          </w:tcPr>
          <w:p>
            <w:pPr>
              <w:spacing w:after="0"/>
            </w:pPr>
            <w:r>
              <w:rPr>
                <w:sz w:val="19"/>
              </w:rPr>
              <w:t>Holdout</w:t>
            </w:r>
          </w:p>
        </w:tc>
        <w:tc>
          <w:tcPr>
            <w:tcW w:type="dxa" w:w="7599"/>
          </w:tcPr>
          <w:p>
            <w:pPr>
              <w:spacing w:after="0"/>
            </w:pPr>
            <w:r>
              <w:rPr>
                <w:sz w:val="19"/>
              </w:rPr>
              <w:t xml:space="preserve">permanent 10% at FTD, group stored in </w:t>
            </w:r>
            <w:r>
              <w:rPr>
                <w:rFonts w:ascii="Consolas" w:hAnsi="Consolas"/>
                <w:color w:val="552B00"/>
                <w:sz w:val="19"/>
              </w:rPr>
              <w:t>std_group</w:t>
            </w:r>
          </w:p>
        </w:tc>
      </w:tr>
      <w:tr>
        <w:tc>
          <w:tcPr>
            <w:tcW w:type="dxa" w:w="1812"/>
          </w:tcPr>
          <w:p>
            <w:pPr>
              <w:spacing w:after="0"/>
            </w:pPr>
            <w:r>
              <w:rPr>
                <w:sz w:val="19"/>
              </w:rPr>
              <w:t>Owner</w:t>
            </w:r>
          </w:p>
        </w:tc>
        <w:tc>
          <w:tcPr>
            <w:tcW w:type="dxa" w:w="7599"/>
          </w:tcPr>
          <w:p>
            <w:pPr>
              <w:spacing w:after="0"/>
            </w:pPr>
            <w:r>
              <w:rPr>
                <w:sz w:val="19"/>
              </w:rPr>
              <w:t>CRM; VIP team for large first deposits</w:t>
            </w:r>
          </w:p>
        </w:tc>
      </w:tr>
    </w:tbl>
    <w:p>
      <w:pPr>
        <w:spacing w:after="40"/>
      </w:pPr>
    </w:p>
    <w:p>
      <w:pPr>
        <w:pStyle w:val="Heading2"/>
      </w:pPr>
      <w:r/>
      <w:r>
        <w:rPr/>
        <w:t>Audience, eligibility and exclusions</w:t>
      </w:r>
    </w:p>
    <w:p>
      <w:pPr>
        <w:tabs>
          <w:tab w:pos="397" w:val="left"/>
        </w:tabs>
        <w:spacing w:after="40"/>
        <w:ind w:left="397" w:hanging="283"/>
      </w:pPr>
      <w:r>
        <w:t>•</w:t>
        <w:tab/>
      </w:r>
      <w:r>
        <w:rPr/>
      </w:r>
      <w:r>
        <w:rPr>
          <w:b/>
        </w:rPr>
        <w:t>Entry:</w:t>
      </w:r>
      <w:r>
        <w:rPr/>
        <w:t xml:space="preserve"> all new depositors.</w:t>
      </w:r>
    </w:p>
    <w:p>
      <w:pPr>
        <w:tabs>
          <w:tab w:pos="397" w:val="left"/>
        </w:tabs>
        <w:spacing w:after="40"/>
        <w:ind w:left="397" w:hanging="283"/>
      </w:pPr>
      <w:r>
        <w:t>•</w:t>
        <w:tab/>
      </w:r>
      <w:r>
        <w:rPr/>
      </w:r>
      <w:r>
        <w:rPr>
          <w:b/>
        </w:rPr>
        <w:t>No deposit-linked offers:</w:t>
      </w:r>
      <w:r>
        <w:rPr/>
        <w:t xml:space="preserve"> RG risk Medium or High.</w:t>
      </w:r>
    </w:p>
    <w:p>
      <w:pPr>
        <w:tabs>
          <w:tab w:pos="397" w:val="left"/>
        </w:tabs>
        <w:spacing w:after="40"/>
        <w:ind w:left="397" w:hanging="283"/>
      </w:pPr>
      <w:r>
        <w:t>•</w:t>
        <w:tab/>
      </w:r>
      <w:r>
        <w:rPr/>
      </w:r>
      <w:r>
        <w:rPr>
          <w:b/>
        </w:rPr>
        <w:t>No bonuses at all:</w:t>
      </w:r>
      <w:r>
        <w:rPr/>
        <w:t xml:space="preserve"> bonus abuse flag.</w:t>
      </w:r>
    </w:p>
    <w:p>
      <w:pPr>
        <w:tabs>
          <w:tab w:pos="397" w:val="left"/>
        </w:tabs>
        <w:spacing w:after="40"/>
        <w:ind w:left="397" w:hanging="283"/>
      </w:pPr>
      <w:r>
        <w:t>•</w:t>
        <w:tab/>
      </w:r>
      <w:r>
        <w:rPr/>
      </w:r>
      <w:r>
        <w:rPr>
          <w:b/>
        </w:rPr>
        <w:t xml:space="preserve">Exit on </w:t>
      </w:r>
      <w:r>
        <w:rPr>
          <w:rFonts w:ascii="Consolas" w:hAnsi="Consolas"/>
          <w:b/>
          <w:color w:val="552B00"/>
          <w:sz w:val="19"/>
        </w:rPr>
        <w:t>deposit_limit_hit</w:t>
      </w:r>
      <w:r>
        <w:rPr>
          <w:b/>
        </w:rPr>
        <w:t>:</w:t>
      </w:r>
      <w:r>
        <w:rPr/>
        <w:t xml:space="preserve"> a player who has hit their own limit.</w:t>
      </w:r>
    </w:p>
    <w:p>
      <w:pPr>
        <w:pStyle w:val="Heading2"/>
      </w:pPr>
      <w:r/>
      <w:r>
        <w:rPr/>
        <w:t>Journey</w:t>
      </w:r>
    </w:p>
    <w:tbl>
      <w:tblPr>
        <w:tblStyle w:val="TableGrid"/>
        <w:tblW w:type="auto" w:w="0"/>
        <w:jc w:val="center"/>
        <w:tblLayout w:type="fixed"/>
        <w:tblLook w:firstColumn="1" w:firstRow="1" w:lastColumn="0" w:lastRow="0" w:noHBand="0" w:noVBand="1" w:val="04A0"/>
      </w:tblPr>
      <w:tblGrid>
        <w:gridCol w:w="836"/>
        <w:gridCol w:w="836"/>
        <w:gridCol w:w="1308"/>
        <w:gridCol w:w="4012"/>
        <w:gridCol w:w="2418"/>
      </w:tblGrid>
      <w:tr>
        <w:tc>
          <w:tcPr>
            <w:tcW w:type="dxa" w:w="836"/>
            <w:shd w:val="clear" w:color="auto" w:fill="DCE4EE"/>
          </w:tcPr>
          <w:p>
            <w:pPr>
              <w:spacing w:after="0"/>
            </w:pPr>
            <w:r>
              <w:rPr>
                <w:b/>
                <w:sz w:val="19"/>
              </w:rPr>
              <w:t>#</w:t>
            </w:r>
          </w:p>
        </w:tc>
        <w:tc>
          <w:tcPr>
            <w:tcW w:type="dxa" w:w="836"/>
            <w:shd w:val="clear" w:color="auto" w:fill="DCE4EE"/>
          </w:tcPr>
          <w:p>
            <w:pPr>
              <w:spacing w:after="0"/>
            </w:pPr>
            <w:r>
              <w:rPr>
                <w:b/>
                <w:sz w:val="19"/>
              </w:rPr>
              <w:t>When</w:t>
            </w:r>
          </w:p>
        </w:tc>
        <w:tc>
          <w:tcPr>
            <w:tcW w:type="dxa" w:w="1308"/>
            <w:shd w:val="clear" w:color="auto" w:fill="DCE4EE"/>
          </w:tcPr>
          <w:p>
            <w:pPr>
              <w:spacing w:after="0"/>
            </w:pPr>
            <w:r>
              <w:rPr>
                <w:b/>
                <w:sz w:val="19"/>
              </w:rPr>
              <w:t>Channel / block</w:t>
            </w:r>
          </w:p>
        </w:tc>
        <w:tc>
          <w:tcPr>
            <w:tcW w:type="dxa" w:w="4012"/>
            <w:shd w:val="clear" w:color="auto" w:fill="DCE4EE"/>
          </w:tcPr>
          <w:p>
            <w:pPr>
              <w:spacing w:after="0"/>
            </w:pPr>
            <w:r>
              <w:rPr>
                <w:b/>
                <w:sz w:val="19"/>
              </w:rPr>
              <w:t>Content</w:t>
            </w:r>
          </w:p>
        </w:tc>
        <w:tc>
          <w:tcPr>
            <w:tcW w:type="dxa" w:w="2418"/>
            <w:shd w:val="clear" w:color="auto" w:fill="DCE4EE"/>
          </w:tcPr>
          <w:p>
            <w:pPr>
              <w:spacing w:after="0"/>
            </w:pPr>
            <w:r>
              <w:rPr>
                <w:b/>
                <w:sz w:val="19"/>
              </w:rPr>
              <w:t>Send condition</w:t>
            </w:r>
          </w:p>
        </w:tc>
      </w:tr>
      <w:tr>
        <w:tc>
          <w:tcPr>
            <w:tcW w:type="dxa" w:w="836"/>
          </w:tcPr>
          <w:p>
            <w:pPr>
              <w:spacing w:after="0"/>
            </w:pPr>
            <w:r>
              <w:rPr>
                <w:sz w:val="19"/>
              </w:rPr>
              <w:t>1</w:t>
            </w:r>
          </w:p>
        </w:tc>
        <w:tc>
          <w:tcPr>
            <w:tcW w:type="dxa" w:w="836"/>
          </w:tcPr>
          <w:p>
            <w:pPr>
              <w:spacing w:after="0"/>
            </w:pPr>
            <w:r>
              <w:rPr>
                <w:sz w:val="19"/>
              </w:rPr>
              <w:t>+1 h</w:t>
            </w:r>
          </w:p>
        </w:tc>
        <w:tc>
          <w:tcPr>
            <w:tcW w:type="dxa" w:w="1308"/>
          </w:tcPr>
          <w:p>
            <w:pPr>
              <w:spacing w:after="0"/>
            </w:pPr>
            <w:r>
              <w:rPr>
                <w:sz w:val="19"/>
              </w:rPr>
              <w:t>Email; push only if the email isn't opened within 4 h</w:t>
            </w:r>
          </w:p>
        </w:tc>
        <w:tc>
          <w:tcPr>
            <w:tcW w:type="dxa" w:w="4012"/>
          </w:tcPr>
          <w:p>
            <w:pPr>
              <w:spacing w:after="0"/>
            </w:pPr>
            <w:r>
              <w:rPr>
                <w:sz w:val="19"/>
              </w:rPr>
              <w:t>Thanks for the deposit; if a bonus was taken - how wagering works, how much is left, which games count</w:t>
            </w:r>
          </w:p>
        </w:tc>
        <w:tc>
          <w:tcPr>
            <w:tcW w:type="dxa" w:w="2418"/>
          </w:tcPr>
          <w:p>
            <w:pPr>
              <w:spacing w:after="0"/>
            </w:pPr>
            <w:r>
              <w:rPr>
                <w:sz w:val="19"/>
              </w:rPr>
              <w:t xml:space="preserve">everyone; bonus block only with </w:t>
            </w:r>
            <w:r>
              <w:rPr>
                <w:rFonts w:ascii="Consolas" w:hAnsi="Consolas"/>
                <w:color w:val="552B00"/>
                <w:sz w:val="19"/>
              </w:rPr>
              <w:t>bonus_granted</w:t>
            </w:r>
          </w:p>
        </w:tc>
      </w:tr>
      <w:tr>
        <w:tc>
          <w:tcPr>
            <w:tcW w:type="dxa" w:w="836"/>
          </w:tcPr>
          <w:p>
            <w:pPr>
              <w:spacing w:after="0"/>
            </w:pPr>
            <w:r>
              <w:rPr>
                <w:sz w:val="19"/>
              </w:rPr>
              <w:t>1a</w:t>
            </w:r>
          </w:p>
        </w:tc>
        <w:tc>
          <w:tcPr>
            <w:tcW w:type="dxa" w:w="836"/>
          </w:tcPr>
          <w:p>
            <w:pPr>
              <w:spacing w:after="0"/>
            </w:pPr>
            <w:r>
              <w:rPr>
                <w:sz w:val="19"/>
              </w:rPr>
              <w:t>+1 h</w:t>
            </w:r>
          </w:p>
        </w:tc>
        <w:tc>
          <w:tcPr>
            <w:tcW w:type="dxa" w:w="1308"/>
          </w:tcPr>
          <w:p>
            <w:pPr>
              <w:spacing w:after="0"/>
            </w:pPr>
            <w:r>
              <w:rPr>
                <w:sz w:val="19"/>
              </w:rPr>
              <w:t>Message to the VIP manager</w:t>
            </w:r>
          </w:p>
        </w:tc>
        <w:tc>
          <w:tcPr>
            <w:tcW w:type="dxa" w:w="4012"/>
          </w:tcPr>
          <w:p>
            <w:pPr>
              <w:spacing w:after="0"/>
            </w:pPr>
            <w:r>
              <w:rPr>
                <w:sz w:val="19"/>
              </w:rPr>
              <w:t>Large first deposit: personal welcome within 24 h</w:t>
            </w:r>
          </w:p>
        </w:tc>
        <w:tc>
          <w:tcPr>
            <w:tcW w:type="dxa" w:w="2418"/>
          </w:tcPr>
          <w:p>
            <w:pPr>
              <w:spacing w:after="0"/>
            </w:pPr>
            <w:r>
              <w:rPr>
                <w:rFonts w:ascii="Consolas" w:hAnsi="Consolas"/>
                <w:color w:val="552B00"/>
                <w:sz w:val="19"/>
              </w:rPr>
              <w:t>first_deposit_amount</w:t>
            </w:r>
            <w:r>
              <w:rPr>
                <w:sz w:val="19"/>
              </w:rPr>
              <w:t xml:space="preserve"> above threshold</w:t>
            </w:r>
          </w:p>
        </w:tc>
      </w:tr>
      <w:tr>
        <w:tc>
          <w:tcPr>
            <w:tcW w:type="dxa" w:w="836"/>
          </w:tcPr>
          <w:p>
            <w:pPr>
              <w:spacing w:after="0"/>
            </w:pPr>
            <w:r>
              <w:rPr>
                <w:sz w:val="19"/>
              </w:rPr>
              <w:t>2</w:t>
            </w:r>
          </w:p>
        </w:tc>
        <w:tc>
          <w:tcPr>
            <w:tcW w:type="dxa" w:w="836"/>
          </w:tcPr>
          <w:p>
            <w:pPr>
              <w:spacing w:after="0"/>
            </w:pPr>
            <w:r>
              <w:rPr>
                <w:sz w:val="19"/>
              </w:rPr>
              <w:t>day 1</w:t>
            </w:r>
          </w:p>
        </w:tc>
        <w:tc>
          <w:tcPr>
            <w:tcW w:type="dxa" w:w="1308"/>
          </w:tcPr>
          <w:p>
            <w:pPr>
              <w:spacing w:after="0"/>
            </w:pPr>
            <w:r>
              <w:rPr>
                <w:sz w:val="19"/>
              </w:rPr>
              <w:t>In-app</w:t>
            </w:r>
          </w:p>
        </w:tc>
        <w:tc>
          <w:tcPr>
            <w:tcW w:type="dxa" w:w="4012"/>
          </w:tcPr>
          <w:p>
            <w:pPr>
              <w:spacing w:after="0"/>
            </w:pPr>
            <w:r>
              <w:rPr>
                <w:sz w:val="19"/>
              </w:rPr>
              <w:t>First-week mission that doesn't need a deposit (e.g. try three different games)</w:t>
            </w:r>
          </w:p>
        </w:tc>
        <w:tc>
          <w:tcPr>
            <w:tcW w:type="dxa" w:w="2418"/>
          </w:tcPr>
          <w:p>
            <w:pPr>
              <w:spacing w:after="0"/>
            </w:pPr>
            <w:r>
              <w:rPr>
                <w:sz w:val="19"/>
              </w:rPr>
              <w:t>active on site</w:t>
            </w:r>
          </w:p>
        </w:tc>
      </w:tr>
      <w:tr>
        <w:tc>
          <w:tcPr>
            <w:tcW w:type="dxa" w:w="836"/>
          </w:tcPr>
          <w:p>
            <w:pPr>
              <w:spacing w:after="0"/>
            </w:pPr>
            <w:r>
              <w:rPr>
                <w:sz w:val="19"/>
              </w:rPr>
              <w:t>3</w:t>
            </w:r>
          </w:p>
        </w:tc>
        <w:tc>
          <w:tcPr>
            <w:tcW w:type="dxa" w:w="836"/>
          </w:tcPr>
          <w:p>
            <w:pPr>
              <w:spacing w:after="0"/>
            </w:pPr>
            <w:r>
              <w:rPr>
                <w:sz w:val="19"/>
              </w:rPr>
              <w:t>day 2</w:t>
            </w:r>
          </w:p>
        </w:tc>
        <w:tc>
          <w:tcPr>
            <w:tcW w:type="dxa" w:w="1308"/>
          </w:tcPr>
          <w:p>
            <w:pPr>
              <w:spacing w:after="0"/>
            </w:pPr>
            <w:r>
              <w:rPr>
                <w:sz w:val="19"/>
              </w:rPr>
              <w:t>Branch</w:t>
            </w:r>
          </w:p>
        </w:tc>
        <w:tc>
          <w:tcPr>
            <w:tcW w:type="dxa" w:w="4012"/>
          </w:tcPr>
          <w:p>
            <w:pPr>
              <w:spacing w:after="0"/>
            </w:pPr>
            <w:r>
              <w:rPr>
                <w:rFonts w:ascii="Consolas" w:hAnsi="Consolas"/>
                <w:color w:val="552B00"/>
                <w:sz w:val="19"/>
              </w:rPr>
              <w:t>wagering_completed</w:t>
            </w:r>
            <w:r>
              <w:rPr>
                <w:sz w:val="19"/>
              </w:rPr>
              <w:t>?</w:t>
            </w:r>
          </w:p>
        </w:tc>
        <w:tc>
          <w:tcPr>
            <w:tcW w:type="dxa" w:w="2418"/>
          </w:tcPr>
          <w:p>
            <w:pPr>
              <w:spacing w:after="0"/>
            </w:pPr>
            <w:r>
              <w:rPr>
                <w:sz w:val="19"/>
              </w:rPr>
              <w:t>had a bonus</w:t>
            </w:r>
          </w:p>
        </w:tc>
      </w:tr>
      <w:tr>
        <w:tc>
          <w:tcPr>
            <w:tcW w:type="dxa" w:w="836"/>
          </w:tcPr>
          <w:p>
            <w:pPr>
              <w:spacing w:after="0"/>
            </w:pPr>
            <w:r>
              <w:rPr>
                <w:sz w:val="19"/>
              </w:rPr>
              <w:t>3a</w:t>
            </w:r>
          </w:p>
        </w:tc>
        <w:tc>
          <w:tcPr>
            <w:tcW w:type="dxa" w:w="836"/>
          </w:tcPr>
          <w:p>
            <w:pPr>
              <w:spacing w:after="0"/>
            </w:pPr>
            <w:r>
              <w:rPr>
                <w:sz w:val="19"/>
              </w:rPr>
              <w:t>day 2</w:t>
            </w:r>
          </w:p>
        </w:tc>
        <w:tc>
          <w:tcPr>
            <w:tcW w:type="dxa" w:w="1308"/>
          </w:tcPr>
          <w:p>
            <w:pPr>
              <w:spacing w:after="0"/>
            </w:pPr>
            <w:r>
              <w:rPr>
                <w:sz w:val="19"/>
              </w:rPr>
              <w:t>Email</w:t>
            </w:r>
          </w:p>
        </w:tc>
        <w:tc>
          <w:tcPr>
            <w:tcW w:type="dxa" w:w="4012"/>
          </w:tcPr>
          <w:p>
            <w:pPr>
              <w:spacing w:after="0"/>
            </w:pPr>
            <w:r>
              <w:rPr>
                <w:sz w:val="19"/>
              </w:rPr>
              <w:t>Bonus wagered: what to try next (no new offer)</w:t>
            </w:r>
          </w:p>
        </w:tc>
        <w:tc>
          <w:tcPr>
            <w:tcW w:type="dxa" w:w="2418"/>
          </w:tcPr>
          <w:p>
            <w:pPr>
              <w:spacing w:after="0"/>
            </w:pPr>
            <w:r>
              <w:rPr>
                <w:sz w:val="19"/>
              </w:rPr>
              <w:t>wagering complete</w:t>
            </w:r>
          </w:p>
        </w:tc>
      </w:tr>
      <w:tr>
        <w:tc>
          <w:tcPr>
            <w:tcW w:type="dxa" w:w="836"/>
          </w:tcPr>
          <w:p>
            <w:pPr>
              <w:spacing w:after="0"/>
            </w:pPr>
            <w:r>
              <w:rPr>
                <w:sz w:val="19"/>
              </w:rPr>
              <w:t>3b</w:t>
            </w:r>
          </w:p>
        </w:tc>
        <w:tc>
          <w:tcPr>
            <w:tcW w:type="dxa" w:w="836"/>
          </w:tcPr>
          <w:p>
            <w:pPr>
              <w:spacing w:after="0"/>
            </w:pPr>
            <w:r>
              <w:rPr>
                <w:sz w:val="19"/>
              </w:rPr>
              <w:t>day 2</w:t>
            </w:r>
          </w:p>
        </w:tc>
        <w:tc>
          <w:tcPr>
            <w:tcW w:type="dxa" w:w="1308"/>
          </w:tcPr>
          <w:p>
            <w:pPr>
              <w:spacing w:after="0"/>
            </w:pPr>
            <w:r>
              <w:rPr>
                <w:sz w:val="19"/>
              </w:rPr>
              <w:t>Email</w:t>
            </w:r>
          </w:p>
        </w:tc>
        <w:tc>
          <w:tcPr>
            <w:tcW w:type="dxa" w:w="4012"/>
          </w:tcPr>
          <w:p>
            <w:pPr>
              <w:spacing w:after="0"/>
            </w:pPr>
            <w:r>
              <w:rPr>
                <w:sz w:val="19"/>
              </w:rPr>
              <w:t>Wagering progress: how much is left, how not to lose the bonus</w:t>
            </w:r>
          </w:p>
        </w:tc>
        <w:tc>
          <w:tcPr>
            <w:tcW w:type="dxa" w:w="2418"/>
          </w:tcPr>
          <w:p>
            <w:pPr>
              <w:spacing w:after="0"/>
            </w:pPr>
            <w:r>
              <w:rPr>
                <w:sz w:val="19"/>
              </w:rPr>
              <w:t>wagering not complete</w:t>
            </w:r>
          </w:p>
        </w:tc>
      </w:tr>
      <w:tr>
        <w:tc>
          <w:tcPr>
            <w:tcW w:type="dxa" w:w="836"/>
          </w:tcPr>
          <w:p>
            <w:pPr>
              <w:spacing w:after="0"/>
            </w:pPr>
            <w:r>
              <w:rPr>
                <w:sz w:val="19"/>
              </w:rPr>
              <w:t>4</w:t>
            </w:r>
          </w:p>
        </w:tc>
        <w:tc>
          <w:tcPr>
            <w:tcW w:type="dxa" w:w="836"/>
          </w:tcPr>
          <w:p>
            <w:pPr>
              <w:spacing w:after="0"/>
            </w:pPr>
            <w:r>
              <w:rPr>
                <w:sz w:val="19"/>
              </w:rPr>
              <w:t>days 3-4</w:t>
            </w:r>
          </w:p>
        </w:tc>
        <w:tc>
          <w:tcPr>
            <w:tcW w:type="dxa" w:w="1308"/>
          </w:tcPr>
          <w:p>
            <w:pPr>
              <w:spacing w:after="0"/>
            </w:pPr>
            <w:r>
              <w:rPr>
                <w:sz w:val="19"/>
              </w:rPr>
              <w:t>Push</w:t>
            </w:r>
          </w:p>
        </w:tc>
        <w:tc>
          <w:tcPr>
            <w:tcW w:type="dxa" w:w="4012"/>
          </w:tcPr>
          <w:p>
            <w:pPr>
              <w:spacing w:after="0"/>
            </w:pPr>
            <w:r>
              <w:rPr>
                <w:sz w:val="19"/>
              </w:rPr>
              <w:t>Personal game or market recommendation based on the first session</w:t>
            </w:r>
          </w:p>
        </w:tc>
        <w:tc>
          <w:tcPr>
            <w:tcW w:type="dxa" w:w="2418"/>
          </w:tcPr>
          <w:p>
            <w:pPr>
              <w:spacing w:after="0"/>
            </w:pPr>
            <w:r>
              <w:rPr>
                <w:rFonts w:ascii="Consolas" w:hAnsi="Consolas"/>
                <w:color w:val="552B00"/>
                <w:sz w:val="19"/>
              </w:rPr>
              <w:t>product_preference</w:t>
            </w:r>
            <w:r>
              <w:rPr>
                <w:sz w:val="19"/>
              </w:rPr>
              <w:t xml:space="preserve"> known</w:t>
            </w:r>
          </w:p>
        </w:tc>
      </w:tr>
      <w:tr>
        <w:tc>
          <w:tcPr>
            <w:tcW w:type="dxa" w:w="836"/>
          </w:tcPr>
          <w:p>
            <w:pPr>
              <w:spacing w:after="0"/>
            </w:pPr>
            <w:r>
              <w:rPr>
                <w:sz w:val="19"/>
              </w:rPr>
              <w:t>5</w:t>
            </w:r>
          </w:p>
        </w:tc>
        <w:tc>
          <w:tcPr>
            <w:tcW w:type="dxa" w:w="836"/>
          </w:tcPr>
          <w:p>
            <w:pPr>
              <w:spacing w:after="0"/>
            </w:pPr>
            <w:r>
              <w:rPr>
                <w:sz w:val="19"/>
              </w:rPr>
              <w:t>day 5</w:t>
            </w:r>
          </w:p>
        </w:tc>
        <w:tc>
          <w:tcPr>
            <w:tcW w:type="dxa" w:w="1308"/>
          </w:tcPr>
          <w:p>
            <w:pPr>
              <w:spacing w:after="0"/>
            </w:pPr>
            <w:r>
              <w:rPr>
                <w:sz w:val="19"/>
              </w:rPr>
              <w:t>Email</w:t>
            </w:r>
          </w:p>
        </w:tc>
        <w:tc>
          <w:tcPr>
            <w:tcW w:type="dxa" w:w="4012"/>
          </w:tcPr>
          <w:p>
            <w:pPr>
              <w:spacing w:after="0"/>
            </w:pPr>
            <w:r>
              <w:rPr>
                <w:sz w:val="19"/>
              </w:rPr>
              <w:t>Most popular this week, new releases</w:t>
            </w:r>
          </w:p>
        </w:tc>
        <w:tc>
          <w:tcPr>
            <w:tcW w:type="dxa" w:w="2418"/>
          </w:tcPr>
          <w:p>
            <w:pPr>
              <w:spacing w:after="0"/>
            </w:pPr>
            <w:r>
              <w:rPr>
                <w:sz w:val="19"/>
              </w:rPr>
              <w:t>no second deposit</w:t>
            </w:r>
          </w:p>
        </w:tc>
      </w:tr>
      <w:tr>
        <w:tc>
          <w:tcPr>
            <w:tcW w:type="dxa" w:w="836"/>
          </w:tcPr>
          <w:p>
            <w:pPr>
              <w:spacing w:after="0"/>
            </w:pPr>
            <w:r>
              <w:rPr>
                <w:sz w:val="19"/>
              </w:rPr>
              <w:t>6</w:t>
            </w:r>
          </w:p>
        </w:tc>
        <w:tc>
          <w:tcPr>
            <w:tcW w:type="dxa" w:w="836"/>
          </w:tcPr>
          <w:p>
            <w:pPr>
              <w:spacing w:after="0"/>
            </w:pPr>
            <w:r>
              <w:rPr>
                <w:sz w:val="19"/>
              </w:rPr>
              <w:t>day 6</w:t>
            </w:r>
          </w:p>
        </w:tc>
        <w:tc>
          <w:tcPr>
            <w:tcW w:type="dxa" w:w="1308"/>
          </w:tcPr>
          <w:p>
            <w:pPr>
              <w:spacing w:after="0"/>
            </w:pPr>
            <w:r>
              <w:rPr>
                <w:sz w:val="19"/>
              </w:rPr>
              <w:t>SMS or push</w:t>
            </w:r>
          </w:p>
        </w:tc>
        <w:tc>
          <w:tcPr>
            <w:tcW w:type="dxa" w:w="4012"/>
          </w:tcPr>
          <w:p>
            <w:pPr>
              <w:spacing w:after="0"/>
            </w:pPr>
            <w:r>
              <w:rPr>
                <w:sz w:val="19"/>
              </w:rPr>
              <w:t>Small reload: one product, simple terms</w:t>
            </w:r>
          </w:p>
        </w:tc>
        <w:tc>
          <w:tcPr>
            <w:tcW w:type="dxa" w:w="2418"/>
          </w:tcPr>
          <w:p>
            <w:pPr>
              <w:spacing w:after="0"/>
            </w:pPr>
            <w:r>
              <w:rPr>
                <w:sz w:val="19"/>
              </w:rPr>
              <w:t>no second deposit, RG Low, no abuse flag, not a large first deposit; for SMS - SMS consent and daytime</w:t>
            </w:r>
          </w:p>
        </w:tc>
      </w:tr>
      <w:tr>
        <w:tc>
          <w:tcPr>
            <w:tcW w:type="dxa" w:w="836"/>
          </w:tcPr>
          <w:p>
            <w:pPr>
              <w:spacing w:after="0"/>
            </w:pPr>
            <w:r>
              <w:rPr>
                <w:sz w:val="19"/>
              </w:rPr>
              <w:t>7</w:t>
            </w:r>
          </w:p>
        </w:tc>
        <w:tc>
          <w:tcPr>
            <w:tcW w:type="dxa" w:w="836"/>
          </w:tcPr>
          <w:p>
            <w:pPr>
              <w:spacing w:after="0"/>
            </w:pPr>
            <w:r>
              <w:rPr>
                <w:sz w:val="19"/>
              </w:rPr>
              <w:t>by day 7</w:t>
            </w:r>
          </w:p>
        </w:tc>
        <w:tc>
          <w:tcPr>
            <w:tcW w:type="dxa" w:w="1308"/>
          </w:tcPr>
          <w:p>
            <w:pPr>
              <w:spacing w:after="0"/>
            </w:pPr>
            <w:r>
              <w:rPr>
                <w:sz w:val="19"/>
              </w:rPr>
              <w:t>Wait for goal</w:t>
            </w:r>
          </w:p>
        </w:tc>
        <w:tc>
          <w:tcPr>
            <w:tcW w:type="dxa" w:w="4012"/>
          </w:tcPr>
          <w:p>
            <w:pPr>
              <w:spacing w:after="0"/>
            </w:pPr>
            <w:r>
              <w:rPr>
                <w:sz w:val="19"/>
              </w:rPr>
              <w:t xml:space="preserve">second deposit -&gt; </w:t>
            </w:r>
            <w:r>
              <w:rPr>
                <w:i/>
                <w:sz w:val="19"/>
              </w:rPr>
              <w:t>Priority</w:t>
            </w:r>
            <w:r>
              <w:rPr>
                <w:sz w:val="19"/>
              </w:rPr>
              <w:t xml:space="preserve">; no -&gt; </w:t>
            </w:r>
            <w:r>
              <w:rPr>
                <w:i/>
                <w:sz w:val="19"/>
              </w:rPr>
              <w:t>Cooling</w:t>
            </w:r>
            <w:r>
              <w:rPr>
                <w:sz w:val="19"/>
              </w:rPr>
              <w:t>, exit</w:t>
            </w:r>
          </w:p>
        </w:tc>
        <w:tc>
          <w:tcPr>
            <w:tcW w:type="dxa" w:w="2418"/>
          </w:tcPr>
          <w:p>
            <w:pPr>
              <w:spacing w:after="0"/>
            </w:pPr>
          </w:p>
        </w:tc>
      </w:tr>
    </w:tbl>
    <w:p>
      <w:pPr>
        <w:spacing w:after="40"/>
      </w:pPr>
    </w:p>
    <w:p>
      <w:r>
        <w:rPr/>
      </w:r>
      <w:r>
        <w:rPr>
          <w:b/>
        </w:rPr>
        <w:t>Thank-you for the second deposit</w:t>
      </w:r>
      <w:r>
        <w:rPr/>
        <w:t xml:space="preserve"> is a separate small campaign on the </w:t>
      </w:r>
      <w:r>
        <w:rPr>
          <w:rFonts w:ascii="Consolas" w:hAnsi="Consolas"/>
          <w:color w:val="552B00"/>
          <w:sz w:val="19"/>
        </w:rPr>
        <w:t>deposit_made</w:t>
      </w:r>
      <w:r>
        <w:rPr/>
        <w:t xml:space="preserve"> event with </w:t>
      </w:r>
      <w:r>
        <w:rPr>
          <w:rFonts w:ascii="Consolas" w:hAnsi="Consolas"/>
          <w:color w:val="552B00"/>
          <w:sz w:val="19"/>
        </w:rPr>
        <w:t>deposit_count = 2</w:t>
      </w:r>
      <w:r>
        <w:rPr/>
        <w:t>: an in-app "thank you" and, if the player is eligible, a few free spins. It lives separately because the main journey ends at the moment of the deposit.</w:t>
      </w:r>
    </w:p>
    <w:p>
      <w:pPr>
        <w:pStyle w:val="Heading2"/>
      </w:pPr>
      <w:r/>
      <w:r>
        <w:rPr/>
        <w:t>Offers</w:t>
      </w:r>
    </w:p>
    <w:p>
      <w:pPr>
        <w:tabs>
          <w:tab w:pos="397" w:val="left"/>
        </w:tabs>
        <w:spacing w:after="40"/>
        <w:ind w:left="397" w:hanging="283"/>
      </w:pPr>
      <w:r>
        <w:t>•</w:t>
        <w:tab/>
      </w:r>
      <w:r>
        <w:rPr/>
        <w:t>Reload only on day 6 and only for those who didn't come back. An early reload mostly pays players who would have deposited anyway.</w:t>
      </w:r>
    </w:p>
    <w:p>
      <w:pPr>
        <w:tabs>
          <w:tab w:pos="397" w:val="left"/>
        </w:tabs>
        <w:spacing w:after="40"/>
        <w:ind w:left="397" w:hanging="283"/>
      </w:pPr>
      <w:r>
        <w:t>•</w:t>
        <w:tab/>
      </w:r>
      <w:r>
        <w:rPr/>
        <w:t>One product per offer, low wagering, key terms next to it.</w:t>
      </w:r>
    </w:p>
    <w:p>
      <w:pPr>
        <w:tabs>
          <w:tab w:pos="397" w:val="left"/>
        </w:tabs>
        <w:spacing w:after="40"/>
        <w:ind w:left="397" w:hanging="283"/>
      </w:pPr>
      <w:r>
        <w:t>•</w:t>
        <w:tab/>
      </w:r>
      <w:r>
        <w:rPr/>
        <w:t>No new bonus for a player who is still wagering the first one.</w:t>
      </w:r>
    </w:p>
    <w:p>
      <w:pPr>
        <w:pStyle w:val="Heading2"/>
      </w:pPr>
      <w:r/>
      <w:r>
        <w:rPr/>
        <w:t>Measurement</w:t>
      </w:r>
    </w:p>
    <w:tbl>
      <w:tblPr>
        <w:tblStyle w:val="TableGrid"/>
        <w:tblW w:type="auto" w:w="0"/>
        <w:jc w:val="center"/>
        <w:tblLayout w:type="fixed"/>
        <w:tblLook w:firstColumn="1" w:firstRow="1" w:lastColumn="0" w:lastRow="0" w:noHBand="0" w:noVBand="1" w:val="04A0"/>
      </w:tblPr>
      <w:tblGrid>
        <w:gridCol w:w="3450"/>
        <w:gridCol w:w="5961"/>
      </w:tblGrid>
      <w:tr>
        <w:tc>
          <w:tcPr>
            <w:tcW w:type="dxa" w:w="3450"/>
            <w:shd w:val="clear" w:color="auto" w:fill="DCE4EE"/>
          </w:tcPr>
          <w:p>
            <w:pPr>
              <w:spacing w:after="0"/>
            </w:pPr>
            <w:r>
              <w:rPr>
                <w:b/>
                <w:sz w:val="19"/>
              </w:rPr>
              <w:t>Metric</w:t>
            </w:r>
          </w:p>
        </w:tc>
        <w:tc>
          <w:tcPr>
            <w:tcW w:type="dxa" w:w="5961"/>
            <w:shd w:val="clear" w:color="auto" w:fill="DCE4EE"/>
          </w:tcPr>
          <w:p>
            <w:pPr>
              <w:spacing w:after="0"/>
            </w:pPr>
            <w:r>
              <w:rPr>
                <w:b/>
                <w:sz w:val="19"/>
              </w:rPr>
              <w:t>What it shows</w:t>
            </w:r>
          </w:p>
        </w:tc>
      </w:tr>
      <w:tr>
        <w:tc>
          <w:tcPr>
            <w:tcW w:type="dxa" w:w="3450"/>
          </w:tcPr>
          <w:p>
            <w:pPr>
              <w:spacing w:after="0"/>
            </w:pPr>
            <w:r>
              <w:rPr>
                <w:sz w:val="19"/>
              </w:rPr>
            </w:r>
            <w:r>
              <w:rPr>
                <w:b/>
                <w:sz w:val="19"/>
              </w:rPr>
              <w:t>Primary:</w:t>
            </w:r>
            <w:r>
              <w:rPr>
                <w:sz w:val="19"/>
              </w:rPr>
              <w:t xml:space="preserve"> STD within 7 days</w:t>
            </w:r>
          </w:p>
        </w:tc>
        <w:tc>
          <w:tcPr>
            <w:tcW w:type="dxa" w:w="5961"/>
          </w:tcPr>
          <w:p>
            <w:pPr>
              <w:spacing w:after="0"/>
            </w:pPr>
            <w:r>
              <w:rPr>
                <w:sz w:val="19"/>
              </w:rPr>
              <w:t>whether the journey works</w:t>
            </w:r>
          </w:p>
        </w:tc>
      </w:tr>
      <w:tr>
        <w:tc>
          <w:tcPr>
            <w:tcW w:type="dxa" w:w="3450"/>
          </w:tcPr>
          <w:p>
            <w:pPr>
              <w:spacing w:after="0"/>
            </w:pPr>
            <w:r>
              <w:rPr>
                <w:sz w:val="19"/>
              </w:rPr>
              <w:t>STD within 30 days</w:t>
            </w:r>
          </w:p>
        </w:tc>
        <w:tc>
          <w:tcPr>
            <w:tcW w:type="dxa" w:w="5961"/>
          </w:tcPr>
          <w:p>
            <w:pPr>
              <w:spacing w:after="0"/>
            </w:pPr>
            <w:r>
              <w:rPr>
                <w:sz w:val="19"/>
              </w:rPr>
              <w:t>if the gap at 30 days is much smaller than at 7, the journey mostly speeds up deposits that would have happened anyway</w:t>
            </w:r>
          </w:p>
        </w:tc>
      </w:tr>
      <w:tr>
        <w:tc>
          <w:tcPr>
            <w:tcW w:type="dxa" w:w="3450"/>
          </w:tcPr>
          <w:p>
            <w:pPr>
              <w:spacing w:after="0"/>
            </w:pPr>
            <w:r>
              <w:rPr>
                <w:sz w:val="19"/>
              </w:rPr>
              <w:t>30-day NGR per player</w:t>
            </w:r>
          </w:p>
        </w:tc>
        <w:tc>
          <w:tcPr>
            <w:tcW w:type="dxa" w:w="5961"/>
          </w:tcPr>
          <w:p>
            <w:pPr>
              <w:spacing w:after="0"/>
            </w:pPr>
            <w:r>
              <w:rPr>
                <w:sz w:val="19"/>
              </w:rPr>
              <w:t>money after bonuses</w:t>
            </w:r>
          </w:p>
        </w:tc>
      </w:tr>
      <w:tr>
        <w:tc>
          <w:tcPr>
            <w:tcW w:type="dxa" w:w="3450"/>
          </w:tcPr>
          <w:p>
            <w:pPr>
              <w:spacing w:after="0"/>
            </w:pPr>
            <w:r>
              <w:rPr>
                <w:sz w:val="19"/>
              </w:rPr>
              <w:t>Bonus cost per new depositor</w:t>
            </w:r>
          </w:p>
        </w:tc>
        <w:tc>
          <w:tcPr>
            <w:tcW w:type="dxa" w:w="5961"/>
          </w:tcPr>
          <w:p>
            <w:pPr>
              <w:spacing w:after="0"/>
            </w:pPr>
            <w:r>
              <w:rPr>
                <w:sz w:val="19"/>
              </w:rPr>
              <w:t>what the result costs</w:t>
            </w:r>
          </w:p>
        </w:tc>
      </w:tr>
    </w:tbl>
    <w:p>
      <w:pPr>
        <w:spacing w:after="40"/>
      </w:pPr>
    </w:p>
    <w:p>
      <w:pPr>
        <w:tabs>
          <w:tab w:pos="397" w:val="left"/>
        </w:tabs>
        <w:spacing w:after="40"/>
        <w:ind w:left="397" w:hanging="283"/>
      </w:pPr>
      <w:r>
        <w:t>•</w:t>
        <w:tab/>
      </w:r>
      <w:r>
        <w:rPr/>
      </w:r>
      <w:r>
        <w:rPr>
          <w:b/>
        </w:rPr>
        <w:t>Design:</w:t>
      </w:r>
      <w:r>
        <w:rPr/>
        <w:t xml:space="preserve"> permanent 10% holdout at FTD. New versions are tested 50/50 against the current one inside the test group.</w:t>
      </w:r>
    </w:p>
    <w:p>
      <w:pPr>
        <w:tabs>
          <w:tab w:pos="397" w:val="left"/>
        </w:tabs>
        <w:spacing w:after="40"/>
        <w:ind w:left="397" w:hanging="283"/>
      </w:pPr>
      <w:r>
        <w:t>•</w:t>
        <w:tab/>
      </w:r>
      <w:r>
        <w:rPr/>
      </w:r>
      <w:r>
        <w:rPr>
          <w:b/>
        </w:rPr>
        <w:t>Revenue per player is skewed by a few big players</w:t>
      </w:r>
      <w:r>
        <w:rPr/>
        <w:t>, so for money I calculate a bootstrap interval: a single average is easy to be fooled by here.</w:t>
      </w:r>
    </w:p>
    <w:p>
      <w:pPr>
        <w:tabs>
          <w:tab w:pos="397" w:val="left"/>
        </w:tabs>
        <w:spacing w:after="40"/>
        <w:ind w:left="397" w:hanging="283"/>
      </w:pPr>
      <w:r>
        <w:t>•</w:t>
        <w:tab/>
      </w:r>
      <w:r>
        <w:rPr/>
      </w:r>
      <w:r>
        <w:rPr>
          <w:b/>
        </w:rPr>
        <w:t>Separate test:</w:t>
      </w:r>
      <w:r>
        <w:rPr/>
        <w:t xml:space="preserve"> day-6 SMS reload vs no bonus. If STD is the same without it, the reload goes.</w:t>
      </w:r>
    </w:p>
    <w:p>
      <w:pPr>
        <w:tabs>
          <w:tab w:pos="397" w:val="left"/>
        </w:tabs>
        <w:spacing w:after="40"/>
        <w:ind w:left="397" w:hanging="283"/>
      </w:pPr>
      <w:r>
        <w:t>•</w:t>
        <w:tab/>
      </w:r>
      <w:r>
        <w:rPr/>
      </w:r>
      <w:r>
        <w:rPr>
          <w:b/>
        </w:rPr>
        <w:t>Reporting:</w:t>
      </w:r>
      <w:r>
        <w:rPr/>
        <w:t xml:space="preserve"> weekly 7-day STD by FTD cohort; monthly 30-day numbers and incrementality.</w:t>
      </w:r>
    </w:p>
    <w:p>
      <w:r>
        <w:br w:type="page"/>
      </w:r>
    </w:p>
    <w:p>
      <w:pPr>
        <w:pStyle w:val="Heading2"/>
      </w:pPr>
      <w:r>
        <w:t>Appendix: workflow in Customer.io</w:t>
      </w:r>
    </w:p>
    <w:p>
      <w:r>
        <w:drawing>
          <wp:inline xmlns:a="http://schemas.openxmlformats.org/drawingml/2006/main" xmlns:pic="http://schemas.openxmlformats.org/drawingml/2006/picture">
            <wp:extent cx="2266662" cy="8352000"/>
            <wp:docPr id="1" name="Picture 1"/>
            <wp:cNvGraphicFramePr>
              <a:graphicFrameLocks noChangeAspect="1"/>
            </wp:cNvGraphicFramePr>
            <a:graphic>
              <a:graphicData uri="http://schemas.openxmlformats.org/drawingml/2006/picture">
                <pic:pic>
                  <pic:nvPicPr>
                    <pic:cNvPr id="0" name="02-post-ftd-second-deposit.png"/>
                    <pic:cNvPicPr/>
                  </pic:nvPicPr>
                  <pic:blipFill>
                    <a:blip r:embed="rId9"/>
                    <a:stretch>
                      <a:fillRect/>
                    </a:stretch>
                  </pic:blipFill>
                  <pic:spPr>
                    <a:xfrm>
                      <a:off x="0" y="0"/>
                      <a:ext cx="2266662" cy="8352000"/>
                    </a:xfrm>
                    <a:prstGeom prst="rect"/>
                  </pic:spPr>
                </pic:pic>
              </a:graphicData>
            </a:graphic>
          </wp:inline>
        </w:drawing>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 w:eastAsiaTheme="majorEastAsia" w:hAnsiTheme=""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 w:eastAsiaTheme="majorEastAsia" w:hAnsiTheme=""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 w:eastAsiaTheme="majorEastAsia" w:hAnsiTheme=""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