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Event-driven VIP cycle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In short:</w:t>
      </w:r>
      <w:r>
        <w:rPr/>
        <w:t xml:space="preserve"> VIP retention is built on relationships, and CRM tells the VIP manager in time what's happening with the player: became VIP, moved up, slowed down, went quiet, shows risk markers.</w:t>
      </w:r>
    </w:p>
    <w:p>
      <w:pPr>
        <w:pStyle w:val="Heading2"/>
      </w:pPr>
      <w:r/>
      <w:r>
        <w:rPr/>
        <w:t>Task</w:t>
      </w:r>
    </w:p>
    <w:p>
      <w:r>
        <w:rPr/>
        <w:t>Usually a small group of players brings the casino most of its revenue. Losing one VIP can cost more than a mass campaign earns, and a manager who learns about a slowdown 30 days later is usually already too late. At the same time, high play intensity is both a VIP signal and a risk signal, so every commercial action goes through RG and AML.</w:t>
      </w:r>
    </w:p>
    <w:p>
      <w:r>
        <w:rPr/>
      </w:r>
      <w:r>
        <w:rPr>
          <w:b/>
        </w:rPr>
        <w:t>Hypothesis:</w:t>
      </w:r>
      <w:r>
        <w:rPr/>
        <w:t xml:space="preserve"> a service contact from the manager within 48 hours of an early slowdown signal keeps a VIP better than a bonus after 30 days of silence, and costs less.</w:t>
      </w:r>
    </w:p>
    <w:p>
      <w:pPr>
        <w:pStyle w:val="Heading2"/>
      </w:pPr>
      <w:r/>
      <w:r>
        <w:rPr/>
        <w:t>Campaign card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8"/>
        <w:gridCol w:w="7973"/>
      </w:tblGrid>
      <w:tr>
        <w:tc>
          <w:tcPr>
            <w:tcW w:type="dxa" w:w="1438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type="dxa" w:w="7973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Type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sz w:val="19"/>
              </w:rPr>
              <w:t>a set of triggered modules on events and attribute changes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Audience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</w:t>
            </w:r>
            <w:r>
              <w:rPr>
                <w:sz w:val="19"/>
              </w:rPr>
              <w:t xml:space="preserve"> = VIP or Super VIP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Main events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deposit_made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vip_risk_tier_changed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552B00"/>
                <w:sz w:val="19"/>
              </w:rPr>
              <w:t>rg_risk_tier</w:t>
            </w:r>
            <w:r>
              <w:rPr>
                <w:sz w:val="19"/>
              </w:rPr>
              <w:t xml:space="preserve"> changed, </w:t>
            </w:r>
            <w:r>
              <w:rPr>
                <w:rFonts w:ascii="Consolas" w:hAnsi="Consolas"/>
                <w:color w:val="552B00"/>
                <w:sz w:val="19"/>
              </w:rPr>
              <w:t>self_excluded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Goal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sz w:val="19"/>
              </w:rPr>
              <w:t>a deposit in every 30-day window, NGR per VIP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Global exit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sz w:val="19"/>
              </w:rPr>
              <w:t>self-exclusion or time-out -&gt; compliance notification, all modules stop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Priority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sz w:val="19"/>
              </w:rPr>
              <w:t>above onboarding and reactivation; below service and failed deposit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Channels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sz w:val="19"/>
              </w:rPr>
              <w:t>VIP manager (main), email, in-app, SMS only if the manager decides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Holdout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sz w:val="19"/>
              </w:rPr>
              <w:t xml:space="preserve">5% on the VIP bonus email after 30 days of silence, group fixed per player in </w:t>
            </w:r>
            <w:r>
              <w:rPr>
                <w:rFonts w:ascii="Consolas" w:hAnsi="Consolas"/>
                <w:color w:val="552B00"/>
                <w:sz w:val="19"/>
              </w:rPr>
              <w:t>vip_bonus_group</w:t>
            </w:r>
            <w:r>
              <w:rPr>
                <w:sz w:val="19"/>
              </w:rPr>
              <w:t>; 50/50 on proactive calls after an early signal (a time-limited test); basic service (manager, welcome, answering requests) is never tested</w:t>
            </w:r>
          </w:p>
        </w:tc>
      </w:tr>
      <w:tr>
        <w:tc>
          <w:tcPr>
            <w:tcW w:type="dxa" w:w="1438"/>
          </w:tcPr>
          <w:p>
            <w:pPr>
              <w:spacing w:after="0"/>
            </w:pPr>
            <w:r>
              <w:rPr>
                <w:sz w:val="19"/>
              </w:rPr>
              <w:t>Owners</w:t>
            </w:r>
          </w:p>
        </w:tc>
        <w:tc>
          <w:tcPr>
            <w:tcW w:type="dxa" w:w="7973"/>
          </w:tcPr>
          <w:p>
            <w:pPr>
              <w:spacing w:after="0"/>
            </w:pPr>
            <w:r>
              <w:rPr>
                <w:sz w:val="19"/>
              </w:rPr>
              <w:t>CRM (signals, messages), VIP managers (contact, offers), Head of VIP (downgrades), RG/compliance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Eligibility and conditions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Before any VIP reward:</w:t>
      </w:r>
      <w:r>
        <w:rPr/>
        <w:t xml:space="preserve"> RG risk Low, AML check passed (including source of funds where required), no open complaint or review.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A sharp rise in play</w:t>
      </w:r>
      <w:r>
        <w:rPr/>
        <w:t xml:space="preserve"> (deposits, session time, stakes above the player's usual level) is a signal for the RG team first.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A sharp drop</w:t>
      </w:r>
      <w:r>
        <w:rPr/>
        <w:t xml:space="preserve"> can be the player's own decision to play less. The manager sees the RG status and any limits before calling.</w:t>
      </w:r>
    </w:p>
    <w:p>
      <w:pPr>
        <w:pStyle w:val="Heading2"/>
      </w:pPr>
      <w:r/>
      <w:r>
        <w:rPr/>
        <w:t xml:space="preserve">Early signal: how </w:t>
      </w:r>
      <w:r>
        <w:rPr>
          <w:rFonts w:ascii="Consolas" w:hAnsi="Consolas"/>
          <w:color w:val="552B00"/>
          <w:sz w:val="19"/>
        </w:rPr>
        <w:t>vip_risk_tier</w:t>
      </w:r>
      <w:r>
        <w:rPr/>
        <w:t xml:space="preserve"> is calculated</w:t>
      </w:r>
    </w:p>
    <w:p>
      <w:r>
        <w:rPr/>
        <w:t>The attribute is recalculated every day and compares the player with their own rhythm: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9"/>
        <w:gridCol w:w="5997"/>
        <w:gridCol w:w="1654"/>
      </w:tblGrid>
      <w:tr>
        <w:tc>
          <w:tcPr>
            <w:tcW w:type="dxa" w:w="175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Signal</w:t>
            </w:r>
          </w:p>
        </w:tc>
        <w:tc>
          <w:tcPr>
            <w:tcW w:type="dxa" w:w="599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Comparison</w:t>
            </w:r>
          </w:p>
        </w:tc>
        <w:tc>
          <w:tcPr>
            <w:tcW w:type="dxa" w:w="165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Points</w:t>
            </w:r>
          </w:p>
        </w:tc>
      </w:tr>
      <w:tr>
        <w:tc>
          <w:tcPr>
            <w:tcW w:type="dxa" w:w="1759"/>
          </w:tcPr>
          <w:p>
            <w:pPr>
              <w:spacing w:after="0"/>
            </w:pPr>
            <w:r>
              <w:rPr>
                <w:sz w:val="19"/>
              </w:rPr>
              <w:t>Deposit frequency</w:t>
            </w:r>
          </w:p>
        </w:tc>
        <w:tc>
          <w:tcPr>
            <w:tcW w:type="dxa" w:w="5997"/>
          </w:tcPr>
          <w:p>
            <w:pPr>
              <w:spacing w:after="0"/>
            </w:pPr>
            <w:r>
              <w:rPr>
                <w:sz w:val="19"/>
              </w:rPr>
              <w:t>last 14 days vs the 28 days before: below half</w:t>
            </w:r>
          </w:p>
        </w:tc>
        <w:tc>
          <w:tcPr>
            <w:tcW w:type="dxa" w:w="1654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  <w:tr>
        <w:tc>
          <w:tcPr>
            <w:tcW w:type="dxa" w:w="1759"/>
          </w:tcPr>
          <w:p>
            <w:pPr>
              <w:spacing w:after="0"/>
            </w:pPr>
            <w:r>
              <w:rPr>
                <w:sz w:val="19"/>
              </w:rPr>
              <w:t>Activity</w:t>
            </w:r>
          </w:p>
        </w:tc>
        <w:tc>
          <w:tcPr>
            <w:tcW w:type="dxa" w:w="5997"/>
          </w:tcPr>
          <w:p>
            <w:pPr>
              <w:spacing w:after="0"/>
            </w:pPr>
            <w:r>
              <w:rPr>
                <w:sz w:val="19"/>
              </w:rPr>
              <w:t>active days, below half of normal</w:t>
            </w:r>
          </w:p>
        </w:tc>
        <w:tc>
          <w:tcPr>
            <w:tcW w:type="dxa" w:w="1654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759"/>
          </w:tcPr>
          <w:p>
            <w:pPr>
              <w:spacing w:after="0"/>
            </w:pPr>
            <w:r>
              <w:rPr>
                <w:sz w:val="19"/>
              </w:rPr>
              <w:t>Stake</w:t>
            </w:r>
          </w:p>
        </w:tc>
        <w:tc>
          <w:tcPr>
            <w:tcW w:type="dxa" w:w="5997"/>
          </w:tcPr>
          <w:p>
            <w:pPr>
              <w:spacing w:after="0"/>
            </w:pPr>
            <w:r>
              <w:rPr>
                <w:sz w:val="19"/>
              </w:rPr>
              <w:t>betting volume, below half of normal</w:t>
            </w:r>
          </w:p>
        </w:tc>
        <w:tc>
          <w:tcPr>
            <w:tcW w:type="dxa" w:w="1654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759"/>
          </w:tcPr>
          <w:p>
            <w:pPr>
              <w:spacing w:after="0"/>
            </w:pPr>
            <w:r>
              <w:rPr>
                <w:sz w:val="19"/>
              </w:rPr>
              <w:t>Overdue</w:t>
            </w:r>
          </w:p>
        </w:tc>
        <w:tc>
          <w:tcPr>
            <w:tcW w:type="dxa" w:w="5997"/>
          </w:tcPr>
          <w:p>
            <w:pPr>
              <w:spacing w:after="0"/>
            </w:pPr>
            <w:r>
              <w:rPr>
                <w:sz w:val="19"/>
              </w:rPr>
              <w:t>days since last deposit ÷ the player's usual gap: above 2</w:t>
            </w:r>
          </w:p>
        </w:tc>
        <w:tc>
          <w:tcPr>
            <w:tcW w:type="dxa" w:w="1654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</w:tr>
    </w:tbl>
    <w:p>
      <w:pPr>
        <w:spacing w:after="40"/>
      </w:pPr>
    </w:p>
    <w:p>
      <w:r>
        <w:rPr/>
        <w:t>4 points or more - High.</w:t>
      </w:r>
    </w:p>
    <w:p>
      <w:pPr>
        <w:pStyle w:val="Heading2"/>
      </w:pPr>
      <w:r/>
      <w:r>
        <w:rPr/>
        <w:t>Journey: modules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6"/>
        <w:gridCol w:w="1806"/>
        <w:gridCol w:w="3935"/>
        <w:gridCol w:w="776"/>
        <w:gridCol w:w="1429"/>
      </w:tblGrid>
      <w:tr>
        <w:tc>
          <w:tcPr>
            <w:tcW w:type="dxa" w:w="146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Module</w:t>
            </w:r>
          </w:p>
        </w:tc>
        <w:tc>
          <w:tcPr>
            <w:tcW w:type="dxa" w:w="180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Trigger</w:t>
            </w:r>
          </w:p>
        </w:tc>
        <w:tc>
          <w:tcPr>
            <w:tcW w:type="dxa" w:w="3935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Actions</w:t>
            </w:r>
          </w:p>
        </w:tc>
        <w:tc>
          <w:tcPr>
            <w:tcW w:type="dxa" w:w="77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1429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Conditions</w:t>
            </w: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A. VIP entry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 -&gt; VIP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>1) task for the manager via webhook; 2) "meet your manager" email from the manager; 3) 2 h later, an email about benefits</w:t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CRM + manager</w:t>
            </w:r>
          </w:p>
        </w:tc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not self-excluded</w:t>
            </w: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B. Tier upgrade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vip_tier_changed</w:t>
            </w:r>
            <w:r>
              <w:rPr>
                <w:sz w:val="19"/>
              </w:rPr>
              <w:t xml:space="preserve"> up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>in-app congratulations; email about the new tier's benefits; notification to the manager</w:t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CRM</w:t>
            </w:r>
          </w:p>
        </w:tc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RG Low</w:t>
            </w: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C. Early signal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vip_risk_tier_changed</w:t>
            </w:r>
            <w:r>
              <w:rPr>
                <w:sz w:val="19"/>
              </w:rPr>
              <w:t xml:space="preserve"> -&gt; High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 xml:space="preserve">task for the manager: contact within 48 h, service only (is everything ok, what can we improve, a relevant event or game), </w:t>
            </w:r>
            <w:r>
              <w:rPr>
                <w:b/>
                <w:sz w:val="19"/>
              </w:rPr>
              <w:t>no bonus</w:t>
            </w:r>
            <w:r>
              <w:rPr>
                <w:sz w:val="19"/>
              </w:rPr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manager</w:t>
            </w:r>
          </w:p>
        </w:tc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RG status visible to the manager before the call; no recent limit or time-out set by the player</w:t>
            </w: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D. 14 days without a deposit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sz w:val="19"/>
              </w:rPr>
              <w:t xml:space="preserve">attribute </w:t>
            </w:r>
            <w:r>
              <w:rPr>
                <w:rFonts w:ascii="Consolas" w:hAnsi="Consolas"/>
                <w:color w:val="552B00"/>
                <w:sz w:val="19"/>
              </w:rPr>
              <w:t>days_since_deposit = 14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>personal offer from the manager after an RG/AML check; this is the next step if the service contact (C) didn't bring the player back</w:t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manager + CRM</w:t>
            </w:r>
          </w:p>
        </w:tc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RG Low, AML passed</w:t>
            </w: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E. 30 days without a deposit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days_since_deposit = 30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>churn risk notification to the manager; random 95/5 split; 95% - personal VIP email with a bonus; wait 30 days for a deposit</w:t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CRM</w:t>
            </w:r>
          </w:p>
        </w:tc>
        <w:tc>
          <w:tcPr>
            <w:tcW w:type="dxa" w:w="1429"/>
          </w:tcPr>
          <w:p>
            <w:pPr>
              <w:spacing w:after="0"/>
            </w:pPr>
            <w:r>
              <w:rPr>
                <w:sz w:val="19"/>
              </w:rPr>
              <w:t>RG Low, AML passed</w:t>
            </w: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F. 60 days without a deposit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days_since_deposit = 60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>downgrade signal, VIP review</w:t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Head of VIP</w:t>
            </w:r>
          </w:p>
        </w:tc>
        <w:tc>
          <w:tcPr>
            <w:tcW w:type="dxa" w:w="1429"/>
          </w:tcPr>
          <w:p>
            <w:pPr>
              <w:spacing w:after="0"/>
            </w:pP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G. RG markers rising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rg_risk_tier</w:t>
            </w:r>
            <w:r>
              <w:rPr>
                <w:sz w:val="19"/>
              </w:rPr>
              <w:t xml:space="preserve"> -&gt; Medium or High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>all promos paused, task for the RG team, the manager gets a "only with RG approval" notice</w:t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RG / compliance</w:t>
            </w:r>
          </w:p>
        </w:tc>
        <w:tc>
          <w:tcPr>
            <w:tcW w:type="dxa" w:w="1429"/>
          </w:tcPr>
          <w:p>
            <w:pPr>
              <w:spacing w:after="0"/>
            </w:pPr>
          </w:p>
        </w:tc>
      </w:tr>
      <w:tr>
        <w:tc>
          <w:tcPr>
            <w:tcW w:type="dxa" w:w="1466"/>
          </w:tcPr>
          <w:p>
            <w:pPr>
              <w:spacing w:after="0"/>
            </w:pPr>
            <w:r>
              <w:rPr>
                <w:sz w:val="19"/>
              </w:rPr>
              <w:t>H. Self-exclusion</w:t>
            </w:r>
          </w:p>
        </w:tc>
        <w:tc>
          <w:tcPr>
            <w:tcW w:type="dxa" w:w="1806"/>
          </w:tcPr>
          <w:p>
            <w:pPr>
              <w:spacing w:after="0"/>
            </w:pPr>
            <w:r>
              <w:rPr>
                <w:rFonts w:ascii="Consolas" w:hAnsi="Consolas"/>
                <w:color w:val="552B00"/>
                <w:sz w:val="19"/>
              </w:rPr>
              <w:t>self_excluded</w:t>
            </w:r>
          </w:p>
        </w:tc>
        <w:tc>
          <w:tcPr>
            <w:tcW w:type="dxa" w:w="3935"/>
          </w:tcPr>
          <w:p>
            <w:pPr>
              <w:spacing w:after="0"/>
            </w:pPr>
            <w:r>
              <w:rPr>
                <w:sz w:val="19"/>
              </w:rPr>
              <w:t>notification to compliance and the manager, all modules stop</w:t>
            </w:r>
          </w:p>
        </w:tc>
        <w:tc>
          <w:tcPr>
            <w:tcW w:type="dxa" w:w="776"/>
          </w:tcPr>
          <w:p>
            <w:pPr>
              <w:spacing w:after="0"/>
            </w:pPr>
            <w:r>
              <w:rPr>
                <w:sz w:val="19"/>
              </w:rPr>
              <w:t>compliance</w:t>
            </w:r>
          </w:p>
        </w:tc>
        <w:tc>
          <w:tcPr>
            <w:tcW w:type="dxa" w:w="1429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rPr/>
        <w:t>The modules are independent and can fire in any order, any number of times during the player's VIP life. B, D and E share a cap: no more than one commercial message to a VIP a week, not counting personal contact with the manager.</w:t>
      </w:r>
    </w:p>
    <w:p>
      <w:pPr>
        <w:pStyle w:val="Heading2"/>
      </w:pPr>
      <w:r/>
      <w:r>
        <w:rPr/>
        <w:t>Offers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Service before bonuses. A VIP who learns that going quiet gets them gifts will go quiet more often.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Personal offers are decided by the manager within the budget set by the Head of VIP.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The cost of VIP rewards is tracked as a share of VIP GGR.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VIP cashback (if there is one) gets its own 10% holdout: it's often one of the biggest bonus lines, and it's rarely tested.</w:t>
      </w:r>
    </w:p>
    <w:p>
      <w:pPr>
        <w:pStyle w:val="Heading2"/>
      </w:pPr>
      <w:r/>
      <w:r>
        <w:rPr/>
        <w:t>Copy: must-haves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Emails come from a named manager, with their contact details.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No urgency and no tier chasing ("deposit another €500 by Friday to get the status").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A holdout in VIP emails too.</w:t>
      </w:r>
    </w:p>
    <w:p>
      <w:pPr>
        <w:pStyle w:val="Heading2"/>
      </w:pPr>
      <w:r/>
      <w:r>
        <w:rPr/>
        <w:t>Measurement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7"/>
        <w:gridCol w:w="2784"/>
      </w:tblGrid>
      <w:tr>
        <w:tc>
          <w:tcPr>
            <w:tcW w:type="dxa" w:w="6627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2784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What it shows</w:t>
            </w:r>
          </w:p>
        </w:tc>
      </w:tr>
      <w:tr>
        <w:tc>
          <w:tcPr>
            <w:tcW w:type="dxa" w:w="662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Primary:</w:t>
            </w:r>
            <w:r>
              <w:rPr>
                <w:sz w:val="19"/>
              </w:rPr>
              <w:t xml:space="preserve"> VIP retention (a deposit in every 30-day window), NGR per VIP</w:t>
            </w:r>
          </w:p>
        </w:tc>
        <w:tc>
          <w:tcPr>
            <w:tcW w:type="dxa" w:w="2784"/>
          </w:tcPr>
          <w:p>
            <w:pPr>
              <w:spacing w:after="0"/>
            </w:pPr>
            <w:r>
              <w:rPr>
                <w:sz w:val="19"/>
              </w:rPr>
              <w:t>whether the programme works</w:t>
            </w:r>
          </w:p>
        </w:tc>
      </w:tr>
      <w:tr>
        <w:tc>
          <w:tcPr>
            <w:tcW w:type="dxa" w:w="6627"/>
          </w:tcPr>
          <w:p>
            <w:pPr>
              <w:spacing w:after="0"/>
            </w:pPr>
            <w:r>
              <w:rPr>
                <w:sz w:val="19"/>
              </w:rPr>
              <w:t>Manager response time on tasks, share of completed contacts</w:t>
            </w:r>
          </w:p>
        </w:tc>
        <w:tc>
          <w:tcPr>
            <w:tcW w:type="dxa" w:w="2784"/>
          </w:tcPr>
          <w:p>
            <w:pPr>
              <w:spacing w:after="0"/>
            </w:pPr>
            <w:r>
              <w:rPr>
                <w:sz w:val="19"/>
              </w:rPr>
              <w:t>whether the process works</w:t>
            </w:r>
          </w:p>
        </w:tc>
      </w:tr>
      <w:tr>
        <w:tc>
          <w:tcPr>
            <w:tcW w:type="dxa" w:w="6627"/>
          </w:tcPr>
          <w:p>
            <w:pPr>
              <w:spacing w:after="0"/>
            </w:pPr>
            <w:r>
              <w:rPr>
                <w:sz w:val="19"/>
              </w:rPr>
              <w:t>Tier upgrades</w:t>
            </w:r>
          </w:p>
        </w:tc>
        <w:tc>
          <w:tcPr>
            <w:tcW w:type="dxa" w:w="2784"/>
          </w:tcPr>
          <w:p>
            <w:pPr>
              <w:spacing w:after="0"/>
            </w:pPr>
            <w:r>
              <w:rPr>
                <w:sz w:val="19"/>
              </w:rPr>
              <w:t>growth</w:t>
            </w:r>
          </w:p>
        </w:tc>
      </w:tr>
      <w:tr>
        <w:tc>
          <w:tcPr>
            <w:tcW w:type="dxa" w:w="6627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Guardrails:</w:t>
            </w:r>
            <w:r>
              <w:rPr>
                <w:sz w:val="19"/>
              </w:rPr>
              <w:t xml:space="preserve"> RG risk changes among VIPs, complaints, VIP reward cost / VIP GGR</w:t>
            </w:r>
          </w:p>
        </w:tc>
        <w:tc>
          <w:tcPr>
            <w:tcW w:type="dxa" w:w="2784"/>
          </w:tcPr>
          <w:p>
            <w:pPr>
              <w:spacing w:after="0"/>
            </w:pPr>
            <w:r>
              <w:rPr>
                <w:sz w:val="19"/>
              </w:rPr>
              <w:t>cost and risk</w:t>
            </w:r>
          </w:p>
        </w:tc>
      </w:tr>
    </w:tbl>
    <w:p>
      <w:pPr>
        <w:spacing w:after="40"/>
      </w:pP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Bonus email after 30 days of silence (module E):</w:t>
      </w:r>
      <w:r>
        <w:rPr/>
        <w:t xml:space="preserve"> 5% holdout, results accumulated over a quarter or longer.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Calls after an early signal (module C):</w:t>
      </w:r>
      <w:r>
        <w:rPr/>
        <w:t xml:space="preserve"> a 50/50 test among high-risk VIPs for a limited period (two quarters). Primary KPI - deposit within 30 days, secondary - 60-day NGR.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</w:r>
      <w:r>
        <w:rPr>
          <w:b/>
        </w:rPr>
        <w:t>Backtest of the score before launch:</w:t>
      </w:r>
      <w:r>
        <w:rPr/>
        <w:t xml:space="preserve"> precision, recall and lead time vs the "14 days without a deposit" rule.</w:t>
      </w:r>
    </w:p>
    <w:p>
      <w:r>
        <w:br w:type="page"/>
      </w:r>
    </w:p>
    <w:p>
      <w:pPr>
        <w:pStyle w:val="Heading2"/>
      </w:pPr>
      <w:r>
        <w:t>Appendix: workflow in Customer.io</w:t>
      </w:r>
    </w:p>
    <w:p>
      <w:r>
        <w:drawing>
          <wp:inline xmlns:a="http://schemas.openxmlformats.org/drawingml/2006/main" xmlns:pic="http://schemas.openxmlformats.org/drawingml/2006/picture">
            <wp:extent cx="5976000" cy="443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ent-driven-v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4352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