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Playbook - six lifecycle campaigns and their journeys</w:t>
      </w:r>
    </w:p>
    <w:p>
      <w:r>
        <w:rPr/>
        <w:t>This is my working iGaming CRM playbook: six campaigns that take a player from sign-up to VIP. Each document combines a brief (why the campaign exists, who it's for, how we measure it) and a detailed journey: steps, timings, channels, conditions, branches and handing the player on.</w:t>
      </w:r>
    </w:p>
    <w:p>
      <w:pPr>
        <w:pStyle w:val="Heading2"/>
      </w:pPr>
      <w:r/>
      <w:r>
        <w:rPr/>
        <w:t>Six campaigns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3"/>
        <w:gridCol w:w="4315"/>
        <w:gridCol w:w="1696"/>
        <w:gridCol w:w="2487"/>
      </w:tblGrid>
      <w:tr>
        <w:tc>
          <w:tcPr>
            <w:tcW w:type="dxa" w:w="91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431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Campaign</w:t>
            </w:r>
          </w:p>
        </w:tc>
        <w:tc>
          <w:tcPr>
            <w:tcW w:type="dxa" w:w="169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Player stage</w:t>
            </w:r>
          </w:p>
        </w:tc>
        <w:tc>
          <w:tcPr>
            <w:tcW w:type="dxa" w:w="248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Primary KPI</w:t>
            </w:r>
          </w:p>
        </w:tc>
      </w:tr>
      <w:tr>
        <w:tc>
          <w:tcPr>
            <w:tcW w:type="dxa" w:w="913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4315"/>
          </w:tcPr>
          <w:p>
            <w:pPr>
              <w:spacing w:after="0"/>
            </w:pPr>
            <w:r>
              <w:rPr>
                <w:sz w:val="19"/>
              </w:rPr>
              <w:t>Onboarding: sign-up -&gt; first deposit</w:t>
            </w:r>
          </w:p>
        </w:tc>
        <w:tc>
          <w:tcPr>
            <w:tcW w:type="dxa" w:w="1696"/>
          </w:tcPr>
          <w:p>
            <w:pPr>
              <w:spacing w:after="0"/>
            </w:pPr>
            <w:r>
              <w:rPr>
                <w:sz w:val="19"/>
              </w:rPr>
              <w:t>new registration</w:t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9"/>
              </w:rPr>
              <w:t>FTD within 7 days</w:t>
            </w:r>
          </w:p>
        </w:tc>
      </w:tr>
      <w:tr>
        <w:tc>
          <w:tcPr>
            <w:tcW w:type="dxa" w:w="913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4315"/>
          </w:tcPr>
          <w:p>
            <w:pPr>
              <w:spacing w:after="0"/>
            </w:pPr>
            <w:r>
              <w:rPr>
                <w:sz w:val="19"/>
              </w:rPr>
              <w:t>First deposit -&gt; second</w:t>
            </w:r>
          </w:p>
        </w:tc>
        <w:tc>
          <w:tcPr>
            <w:tcW w:type="dxa" w:w="1696"/>
          </w:tcPr>
          <w:p>
            <w:pPr>
              <w:spacing w:after="0"/>
            </w:pPr>
            <w:r>
              <w:rPr>
                <w:sz w:val="19"/>
              </w:rPr>
              <w:t>new depositor</w:t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9"/>
              </w:rPr>
              <w:t>second deposit (STD) within 7 days</w:t>
            </w:r>
          </w:p>
        </w:tc>
      </w:tr>
      <w:tr>
        <w:tc>
          <w:tcPr>
            <w:tcW w:type="dxa" w:w="913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4315"/>
          </w:tcPr>
          <w:p>
            <w:pPr>
              <w:spacing w:after="0"/>
            </w:pPr>
            <w:r>
              <w:rPr>
                <w:sz w:val="19"/>
              </w:rPr>
              <w:t>Tiered reactivation</w:t>
            </w:r>
          </w:p>
        </w:tc>
        <w:tc>
          <w:tcPr>
            <w:tcW w:type="dxa" w:w="1696"/>
          </w:tcPr>
          <w:p>
            <w:pPr>
              <w:spacing w:after="0"/>
            </w:pPr>
            <w:r>
              <w:rPr>
                <w:sz w:val="19"/>
              </w:rPr>
              <w:t>cooling / at risk / dormant</w:t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9"/>
              </w:rPr>
              <w:t>deposit within 30 days vs control</w:t>
            </w:r>
          </w:p>
        </w:tc>
      </w:tr>
      <w:tr>
        <w:tc>
          <w:tcPr>
            <w:tcW w:type="dxa" w:w="913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4315"/>
          </w:tcPr>
          <w:p>
            <w:pPr>
              <w:spacing w:after="0"/>
            </w:pPr>
            <w:r>
              <w:rPr>
                <w:sz w:val="19"/>
              </w:rPr>
              <w:t>Event-driven VIP cycle</w:t>
            </w:r>
          </w:p>
        </w:tc>
        <w:tc>
          <w:tcPr>
            <w:tcW w:type="dxa" w:w="1696"/>
          </w:tcPr>
          <w:p>
            <w:pPr>
              <w:spacing w:after="0"/>
            </w:pPr>
            <w:r>
              <w:rPr>
                <w:sz w:val="19"/>
              </w:rPr>
              <w:t>VIP</w:t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9"/>
              </w:rPr>
              <w:t>VIP retention, NGR per VIP</w:t>
            </w:r>
          </w:p>
        </w:tc>
      </w:tr>
      <w:tr>
        <w:tc>
          <w:tcPr>
            <w:tcW w:type="dxa" w:w="913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4315"/>
          </w:tcPr>
          <w:p>
            <w:pPr>
              <w:spacing w:after="0"/>
            </w:pPr>
            <w:r>
              <w:rPr>
                <w:sz w:val="19"/>
              </w:rPr>
              <w:t>Failed deposit recovery</w:t>
            </w:r>
          </w:p>
        </w:tc>
        <w:tc>
          <w:tcPr>
            <w:tcW w:type="dxa" w:w="1696"/>
          </w:tcPr>
          <w:p>
            <w:pPr>
              <w:spacing w:after="0"/>
            </w:pPr>
            <w:r>
              <w:rPr>
                <w:sz w:val="19"/>
              </w:rPr>
              <w:t>anyone whose payment failed</w:t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9"/>
              </w:rPr>
              <w:t>successful deposit within 24 h</w:t>
            </w:r>
          </w:p>
        </w:tc>
      </w:tr>
      <w:tr>
        <w:tc>
          <w:tcPr>
            <w:tcW w:type="dxa" w:w="913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4315"/>
          </w:tcPr>
          <w:p>
            <w:pPr>
              <w:spacing w:after="0"/>
            </w:pPr>
            <w:r>
              <w:rPr>
                <w:sz w:val="19"/>
              </w:rPr>
              <w:t>Cross-sell: sports -&gt; casino</w:t>
            </w:r>
          </w:p>
        </w:tc>
        <w:tc>
          <w:tcPr>
            <w:tcW w:type="dxa" w:w="1696"/>
          </w:tcPr>
          <w:p>
            <w:pPr>
              <w:spacing w:after="0"/>
            </w:pPr>
            <w:r>
              <w:rPr>
                <w:sz w:val="19"/>
              </w:rPr>
              <w:t>sports-only player</w:t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9"/>
              </w:rPr>
              <w:t>first casino bet within 14 days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How the campaigns connect</w:t>
      </w:r>
    </w:p>
    <w:p>
      <w:r>
        <w:rPr/>
        <w:t>No journey ends in a dead end: the player either reaches the goal and moves to the next stage, or goes into a cheaper, rarer flow.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3860"/>
        <w:gridCol w:w="3665"/>
      </w:tblGrid>
      <w:tr>
        <w:tc>
          <w:tcPr>
            <w:tcW w:type="dxa" w:w="188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From</w:t>
            </w:r>
          </w:p>
        </w:tc>
        <w:tc>
          <w:tcPr>
            <w:tcW w:type="dxa" w:w="3860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Event</w:t>
            </w:r>
          </w:p>
        </w:tc>
        <w:tc>
          <w:tcPr>
            <w:tcW w:type="dxa" w:w="366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To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Sign-up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signup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sz w:val="19"/>
              </w:rPr>
              <w:t>Onboarding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Onboarding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first deposit (</w:t>
            </w:r>
            <w:r>
              <w:rPr>
                <w:rFonts w:ascii="Consolas" w:hAnsi="Consolas"/>
                <w:color w:val="552B00"/>
                <w:sz w:val="19"/>
              </w:rPr>
              <w:t>ftd_completed</w:t>
            </w:r>
            <w:r>
              <w:rPr>
                <w:sz w:val="19"/>
              </w:rPr>
              <w:t>)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sz w:val="19"/>
              </w:rPr>
              <w:t>Second deposit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Onboarding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7 days without a deposit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i/>
                <w:sz w:val="19"/>
              </w:rPr>
              <w:t>Sleepers</w:t>
            </w:r>
            <w:r>
              <w:rPr>
                <w:sz w:val="19"/>
              </w:rPr>
              <w:t xml:space="preserve"> (rare content newsletter)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Any campaign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deposit_failed</w:t>
            </w:r>
            <w:r>
              <w:rPr>
                <w:sz w:val="19"/>
              </w:rPr>
              <w:t xml:space="preserve"> and no successful deposit within 30 min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sz w:val="19"/>
              </w:rPr>
              <w:t>Failed deposit, the original campaign carries on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Second deposit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second deposit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i/>
                <w:sz w:val="19"/>
              </w:rPr>
              <w:t>Priority</w:t>
            </w:r>
            <w:r>
              <w:rPr>
                <w:sz w:val="19"/>
              </w:rPr>
              <w:t xml:space="preserve"> (active players, normal communication)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Second deposit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7 days without a deposit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i/>
                <w:sz w:val="19"/>
              </w:rPr>
              <w:t>Cooling</w:t>
            </w:r>
            <w:r>
              <w:rPr>
                <w:sz w:val="19"/>
              </w:rPr>
              <w:t>; into "Reactivation" once 14 days have passed since the last deposit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Active player (non-VIP)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14 days without a deposit (the exact point is tuned on the natural return curve)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sz w:val="19"/>
              </w:rPr>
              <w:t>Reactivation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Reactivation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deposit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i/>
                <w:sz w:val="19"/>
              </w:rPr>
              <w:t>Priority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Reactivation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45 days in the journey without a deposit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i/>
                <w:sz w:val="19"/>
              </w:rPr>
              <w:t>Low frequency</w:t>
            </w:r>
            <w:r>
              <w:rPr>
                <w:sz w:val="19"/>
              </w:rPr>
              <w:t xml:space="preserve"> (once a month or quarter)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Any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reached the VIP threshold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sz w:val="19"/>
              </w:rPr>
              <w:t>VIP cycle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19"/>
              </w:rPr>
              <w:t>Active sports-only player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cross-sell conditions met</w:t>
            </w:r>
          </w:p>
        </w:tc>
        <w:tc>
          <w:tcPr>
            <w:tcW w:type="dxa" w:w="3665"/>
          </w:tcPr>
          <w:p>
            <w:pPr>
              <w:spacing w:after="0"/>
            </w:pPr>
            <w:r>
              <w:rPr>
                <w:sz w:val="19"/>
              </w:rPr>
              <w:t>Cross-sell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States the journeys refer to:</w:t>
      </w:r>
      <w:r>
        <w:rPr/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Priority</w:t>
      </w:r>
      <w:r>
        <w:rPr/>
        <w:t xml:space="preserve"> - active depositors, get normal product communication;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Cooling</w:t>
      </w:r>
      <w:r>
        <w:rPr/>
        <w:t xml:space="preserve"> - players who have started to cool down, the entry into reactivation;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Sleepers</w:t>
      </w:r>
      <w:r>
        <w:rPr/>
        <w:t xml:space="preserve"> - registered but never deposited; rare content, no bonuses;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Low frequency</w:t>
      </w:r>
      <w:r>
        <w:rPr/>
        <w:t xml:space="preserve"> - long-lapsed depositors; one send a month or a quarter.</w:t>
      </w:r>
    </w:p>
    <w:p>
      <w:pPr>
        <w:pStyle w:val="Heading2"/>
      </w:pPr>
      <w:r/>
      <w:r>
        <w:rPr/>
        <w:t>Shared rules for all campaigns</w:t>
      </w:r>
    </w:p>
    <w:p>
      <w:pPr>
        <w:pStyle w:val="Heading3"/>
      </w:pPr>
      <w:r/>
      <w:r>
        <w:rPr/>
        <w:t>1. Eligibility for contact, always in this order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Can we message them?</w:t>
      </w:r>
      <w:r>
        <w:rPr/>
        <w:t xml:space="preserve"> No self-exclusion and no active time-out. There's consent for this product (casino or sports) and this channel. The product is available in the player's jurisdiction.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Should we?</w:t>
      </w:r>
      <w:r>
        <w:rPr/>
        <w:t xml:space="preserve"> RG risk isn't High. At Medium, no deposit-linked offers and no urgency. A bonus abuse flag means content only. An open fraud or AML review means zero promos.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Journey rules.</w:t>
      </w:r>
      <w:r>
        <w:rPr/>
        <w:t xml:space="preserve"> Exit on the goal event. Only one promo journey at a time. A shared frequency cap across all campaigns.</w:t>
      </w:r>
    </w:p>
    <w:p>
      <w:r>
        <w:rPr/>
        <w:t xml:space="preserve">RG and self-exclusion checks sit </w:t>
      </w:r>
      <w:r>
        <w:rPr>
          <w:b/>
        </w:rPr>
        <w:t>on every promo message</w:t>
      </w:r>
      <w:r>
        <w:rPr/>
        <w:t>.</w:t>
      </w:r>
    </w:p>
    <w:p>
      <w:pPr>
        <w:pStyle w:val="Heading3"/>
      </w:pPr>
      <w:r/>
      <w:r>
        <w:rPr/>
        <w:t>2. Priority when a player qualifies for several campaigns</w:t>
      </w:r>
    </w:p>
    <w:p>
      <w:r>
        <w:rPr/>
        <w:t>compliance and service -&gt; failed deposit -&gt; VIP -&gt; onboarding / second deposit -&gt; reactivation -&gt; cross-sell.</w:t>
      </w:r>
    </w:p>
    <w:p>
      <w:r>
        <w:rPr/>
        <w:t>Service and transactional messages don't count towards frequency caps and aren't blocked by promo journeys.</w:t>
      </w:r>
    </w:p>
    <w:p>
      <w:pPr>
        <w:pStyle w:val="Heading3"/>
      </w:pPr>
      <w:r/>
      <w:r>
        <w:rPr/>
        <w:t>3. Frequency and send times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no more than 1 promo message a day and 4 a week per player across all channels;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SMS no more than once a week, only with separate consent;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push and SMS only during the day in the player's local time (e.g. 09:00-21:00, or stricter if the market requires it);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one message idea - one channel, no duplicates on the same day;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in-app prompts that the player only sees during their own session don't count towards the cap.</w:t>
      </w:r>
    </w:p>
    <w:p>
      <w:pPr>
        <w:pStyle w:val="Heading3"/>
      </w:pPr>
      <w:r/>
      <w:r>
        <w:rPr/>
        <w:t>4. Offers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One product per incentive: a casino bonus or a sports free bet, not a combined one.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Key terms (wagering, expiry, max bet, win cap) sit right next to the offer.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No bonus for: RG High (and at Medium no deposit-linked offers), abuse flag, players under review, players right after a failed deposit.</w:t>
      </w:r>
    </w:p>
    <w:p>
      <w:pPr>
        <w:pStyle w:val="Heading3"/>
      </w:pPr>
      <w:r/>
      <w:r>
        <w:rPr/>
        <w:t>5. Measurement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 xml:space="preserve">Primary KPI, window and holdout size are fixed </w:t>
      </w:r>
      <w:r>
        <w:rPr>
          <w:b/>
        </w:rPr>
        <w:t>before launch</w:t>
      </w:r>
      <w:r>
        <w:rPr/>
        <w:t>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A random holdout on promo steps (usually 5-15%; more if the group is small or the baseline conversion is low). Everyone gets service and transactional messages.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 xml:space="preserve">Group membership is written to a profile attribute (e.g. </w:t>
      </w:r>
      <w:r>
        <w:rPr>
          <w:rFonts w:ascii="Consolas" w:hAnsi="Consolas"/>
          <w:color w:val="552B00"/>
          <w:sz w:val="19"/>
        </w:rPr>
        <w:t>winback_group = control</w:t>
      </w:r>
      <w:r>
        <w:rPr/>
        <w:t>). Then the test/control comparison can be calculated at any time, regardless of where the player is in the journey.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Decisions are made on incremental NGR (which already includes bonus cost) minus channel cost.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I read results on day 7 and day 30: that shows whether the campaign creates player actions or only speeds up ones that would have happened anyway.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If the audience is small (VIPs, failed deposits), results are accumulated over a quarter: a month doesn't give enough data.</w:t>
      </w:r>
    </w:p>
    <w:p>
      <w:pPr>
        <w:pStyle w:val="Heading3"/>
      </w:pPr>
      <w:r/>
      <w:r>
        <w:rPr/>
        <w:t>6. Launch and monitoring</w:t>
      </w:r>
    </w:p>
    <w:p>
      <w:r>
        <w:rPr/>
        <w:t>Before each campaign goes live: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  <w:t>Run test profiles through every branch: verified / not, with bonus / without, RG Low / Medium / High, self-excluded, no SMS consent.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  <w:t>Check that the goal exit actually works and a player doesn't get "make a deposit" after depositing.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  <w:t>Check personalisation with empty fields (name, favourite game): every field needs a default value.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  <w:t>Send all messages to an internal test list, check links, UTM tags, mobile rendering.</w:t>
      </w:r>
    </w:p>
    <w:p>
      <w:pPr>
        <w:tabs>
          <w:tab w:pos="397" w:val="left"/>
        </w:tabs>
        <w:spacing w:after="40"/>
        <w:ind w:left="397" w:hanging="283"/>
      </w:pPr>
      <w:r>
        <w:t>5.</w:t>
        <w:tab/>
      </w:r>
      <w:r>
        <w:rPr/>
        <w:t>Get copy and offers signed off by compliance.</w:t>
      </w:r>
    </w:p>
    <w:p>
      <w:pPr>
        <w:tabs>
          <w:tab w:pos="397" w:val="left"/>
        </w:tabs>
        <w:spacing w:after="40"/>
        <w:ind w:left="397" w:hanging="283"/>
      </w:pPr>
      <w:r>
        <w:t>6.</w:t>
        <w:tab/>
      </w:r>
      <w:r>
        <w:rPr/>
        <w:t>For the first 48 hours watch send volumes, bounces and complaints.</w:t>
      </w:r>
    </w:p>
    <w:p>
      <w:pPr>
        <w:pStyle w:val="Heading3"/>
      </w:pPr>
      <w:r/>
      <w:r>
        <w:rPr/>
        <w:t>7. Who owns what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6903"/>
      </w:tblGrid>
      <w:tr>
        <w:tc>
          <w:tcPr>
            <w:tcW w:type="dxa" w:w="250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type="dxa" w:w="690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Area</w:t>
            </w:r>
          </w:p>
        </w:tc>
      </w:tr>
      <w:tr>
        <w:tc>
          <w:tcPr>
            <w:tcW w:type="dxa" w:w="2508"/>
          </w:tcPr>
          <w:p>
            <w:pPr>
              <w:spacing w:after="0"/>
            </w:pPr>
            <w:r>
              <w:rPr>
                <w:sz w:val="19"/>
              </w:rPr>
              <w:t>CRM</w:t>
            </w:r>
          </w:p>
        </w:tc>
        <w:tc>
          <w:tcPr>
            <w:tcW w:type="dxa" w:w="6903"/>
          </w:tcPr>
          <w:p>
            <w:pPr>
              <w:spacing w:after="0"/>
            </w:pPr>
            <w:r>
              <w:rPr>
                <w:sz w:val="19"/>
              </w:rPr>
              <w:t>journey logic, segments, copy, tests, reporting</w:t>
            </w:r>
          </w:p>
        </w:tc>
      </w:tr>
      <w:tr>
        <w:tc>
          <w:tcPr>
            <w:tcW w:type="dxa" w:w="2508"/>
          </w:tcPr>
          <w:p>
            <w:pPr>
              <w:spacing w:after="0"/>
            </w:pPr>
            <w:r>
              <w:rPr>
                <w:sz w:val="19"/>
              </w:rPr>
              <w:t>VIP managers</w:t>
            </w:r>
          </w:p>
        </w:tc>
        <w:tc>
          <w:tcPr>
            <w:tcW w:type="dxa" w:w="6903"/>
          </w:tcPr>
          <w:p>
            <w:pPr>
              <w:spacing w:after="0"/>
            </w:pPr>
            <w:r>
              <w:rPr>
                <w:sz w:val="19"/>
              </w:rPr>
              <w:t>personal contact with VIPs, decisions on personal offers</w:t>
            </w:r>
          </w:p>
        </w:tc>
      </w:tr>
      <w:tr>
        <w:tc>
          <w:tcPr>
            <w:tcW w:type="dxa" w:w="2508"/>
          </w:tcPr>
          <w:p>
            <w:pPr>
              <w:spacing w:after="0"/>
            </w:pPr>
            <w:r>
              <w:rPr>
                <w:sz w:val="19"/>
              </w:rPr>
              <w:t>Responsible gambling / compliance</w:t>
            </w:r>
          </w:p>
        </w:tc>
        <w:tc>
          <w:tcPr>
            <w:tcW w:type="dxa" w:w="6903"/>
          </w:tcPr>
          <w:p>
            <w:pPr>
              <w:spacing w:after="0"/>
            </w:pPr>
            <w:r>
              <w:rPr>
                <w:sz w:val="19"/>
              </w:rPr>
              <w:t>eligibility rules, RG flags, copy sign-off</w:t>
            </w:r>
          </w:p>
        </w:tc>
      </w:tr>
      <w:tr>
        <w:tc>
          <w:tcPr>
            <w:tcW w:type="dxa" w:w="2508"/>
          </w:tcPr>
          <w:p>
            <w:pPr>
              <w:spacing w:after="0"/>
            </w:pPr>
            <w:r>
              <w:rPr>
                <w:sz w:val="19"/>
              </w:rPr>
              <w:t>Risk / AML</w:t>
            </w:r>
          </w:p>
        </w:tc>
        <w:tc>
          <w:tcPr>
            <w:tcW w:type="dxa" w:w="6903"/>
          </w:tcPr>
          <w:p>
            <w:pPr>
              <w:spacing w:after="0"/>
            </w:pPr>
            <w:r>
              <w:rPr>
                <w:sz w:val="19"/>
              </w:rPr>
              <w:t>reviews, restrictions, source of funds</w:t>
            </w:r>
          </w:p>
        </w:tc>
      </w:tr>
      <w:tr>
        <w:tc>
          <w:tcPr>
            <w:tcW w:type="dxa" w:w="2508"/>
          </w:tcPr>
          <w:p>
            <w:pPr>
              <w:spacing w:after="0"/>
            </w:pPr>
            <w:r>
              <w:rPr>
                <w:sz w:val="19"/>
              </w:rPr>
              <w:t>Payments</w:t>
            </w:r>
          </w:p>
        </w:tc>
        <w:tc>
          <w:tcPr>
            <w:tcW w:type="dxa" w:w="6903"/>
          </w:tcPr>
          <w:p>
            <w:pPr>
              <w:spacing w:after="0"/>
            </w:pPr>
            <w:r>
              <w:rPr>
                <w:sz w:val="19"/>
              </w:rPr>
              <w:t>decline rate, payment methods</w:t>
            </w:r>
          </w:p>
        </w:tc>
      </w:tr>
      <w:tr>
        <w:tc>
          <w:tcPr>
            <w:tcW w:type="dxa" w:w="2508"/>
          </w:tcPr>
          <w:p>
            <w:pPr>
              <w:spacing w:after="0"/>
            </w:pPr>
            <w:r>
              <w:rPr>
                <w:sz w:val="19"/>
              </w:rPr>
              <w:t>Analytics</w:t>
            </w:r>
          </w:p>
        </w:tc>
        <w:tc>
          <w:tcPr>
            <w:tcW w:type="dxa" w:w="6903"/>
          </w:tcPr>
          <w:p>
            <w:pPr>
              <w:spacing w:after="0"/>
            </w:pPr>
            <w:r>
              <w:rPr>
                <w:sz w:val="19"/>
              </w:rPr>
              <w:t>data, attributes, incrementality calculation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Channels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2"/>
        <w:gridCol w:w="3842"/>
        <w:gridCol w:w="4337"/>
      </w:tblGrid>
      <w:tr>
        <w:tc>
          <w:tcPr>
            <w:tcW w:type="dxa" w:w="123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Channel</w:t>
            </w:r>
          </w:p>
        </w:tc>
        <w:tc>
          <w:tcPr>
            <w:tcW w:type="dxa" w:w="384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Best for</w:t>
            </w:r>
          </w:p>
        </w:tc>
        <w:tc>
          <w:tcPr>
            <w:tcW w:type="dxa" w:w="433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Cost and risk</w:t>
            </w:r>
          </w:p>
        </w:tc>
      </w:tr>
      <w:tr>
        <w:tc>
          <w:tcPr>
            <w:tcW w:type="dxa" w:w="1232"/>
          </w:tcPr>
          <w:p>
            <w:pPr>
              <w:spacing w:after="0"/>
            </w:pPr>
            <w:r>
              <w:rPr>
                <w:sz w:val="19"/>
              </w:rPr>
              <w:t>In-app / on site</w:t>
            </w:r>
          </w:p>
        </w:tc>
        <w:tc>
          <w:tcPr>
            <w:tcW w:type="dxa" w:w="3842"/>
          </w:tcPr>
          <w:p>
            <w:pPr>
              <w:spacing w:after="0"/>
            </w:pPr>
            <w:r>
              <w:rPr>
                <w:sz w:val="19"/>
              </w:rPr>
              <w:t>prompts during the session, first-week habits</w:t>
            </w:r>
          </w:p>
        </w:tc>
        <w:tc>
          <w:tcPr>
            <w:tcW w:type="dxa" w:w="4337"/>
          </w:tcPr>
          <w:p>
            <w:pPr>
              <w:spacing w:after="0"/>
            </w:pPr>
            <w:r>
              <w:rPr>
                <w:sz w:val="19"/>
              </w:rPr>
              <w:t>free, only reaches active players</w:t>
            </w:r>
          </w:p>
        </w:tc>
      </w:tr>
      <w:tr>
        <w:tc>
          <w:tcPr>
            <w:tcW w:type="dxa" w:w="1232"/>
          </w:tcPr>
          <w:p>
            <w:pPr>
              <w:spacing w:after="0"/>
            </w:pPr>
            <w:r>
              <w:rPr>
                <w:sz w:val="19"/>
              </w:rPr>
              <w:t>Push</w:t>
            </w:r>
          </w:p>
        </w:tc>
        <w:tc>
          <w:tcPr>
            <w:tcW w:type="dxa" w:w="3842"/>
          </w:tcPr>
          <w:p>
            <w:pPr>
              <w:spacing w:after="0"/>
            </w:pPr>
            <w:r>
              <w:rPr>
                <w:sz w:val="19"/>
              </w:rPr>
              <w:t>short event-based reminders</w:t>
            </w:r>
          </w:p>
        </w:tc>
        <w:tc>
          <w:tcPr>
            <w:tcW w:type="dxa" w:w="4337"/>
          </w:tcPr>
          <w:p>
            <w:pPr>
              <w:spacing w:after="0"/>
            </w:pPr>
            <w:r>
              <w:rPr>
                <w:sz w:val="19"/>
              </w:rPr>
              <w:t>free, players turn notifications off if overloaded</w:t>
            </w:r>
          </w:p>
        </w:tc>
      </w:tr>
      <w:tr>
        <w:tc>
          <w:tcPr>
            <w:tcW w:type="dxa" w:w="1232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3842"/>
          </w:tcPr>
          <w:p>
            <w:pPr>
              <w:spacing w:after="0"/>
            </w:pPr>
            <w:r>
              <w:rPr>
                <w:sz w:val="19"/>
              </w:rPr>
              <w:t>details, personalisation, offer terms</w:t>
            </w:r>
          </w:p>
        </w:tc>
        <w:tc>
          <w:tcPr>
            <w:tcW w:type="dxa" w:w="4337"/>
          </w:tcPr>
          <w:p>
            <w:pPr>
              <w:spacing w:after="0"/>
            </w:pPr>
            <w:r>
              <w:rPr>
                <w:sz w:val="19"/>
              </w:rPr>
              <w:t>cheap, needs a clean base to stay out of spam</w:t>
            </w:r>
          </w:p>
        </w:tc>
      </w:tr>
      <w:tr>
        <w:tc>
          <w:tcPr>
            <w:tcW w:type="dxa" w:w="1232"/>
          </w:tcPr>
          <w:p>
            <w:pPr>
              <w:spacing w:after="0"/>
            </w:pPr>
            <w:r>
              <w:rPr>
                <w:sz w:val="19"/>
              </w:rPr>
              <w:t>SMS</w:t>
            </w:r>
          </w:p>
        </w:tc>
        <w:tc>
          <w:tcPr>
            <w:tcW w:type="dxa" w:w="3842"/>
          </w:tcPr>
          <w:p>
            <w:pPr>
              <w:spacing w:after="0"/>
            </w:pPr>
            <w:r>
              <w:rPr>
                <w:sz w:val="19"/>
              </w:rPr>
              <w:t>the last nudge for valuable players</w:t>
            </w:r>
          </w:p>
        </w:tc>
        <w:tc>
          <w:tcPr>
            <w:tcW w:type="dxa" w:w="4337"/>
          </w:tcPr>
          <w:p>
            <w:pPr>
              <w:spacing w:after="0"/>
            </w:pPr>
            <w:r>
              <w:rPr>
                <w:sz w:val="19"/>
              </w:rPr>
              <w:t>paid per message, strict consent requirements</w:t>
            </w:r>
          </w:p>
        </w:tc>
      </w:tr>
      <w:tr>
        <w:tc>
          <w:tcPr>
            <w:tcW w:type="dxa" w:w="1232"/>
          </w:tcPr>
          <w:p>
            <w:pPr>
              <w:spacing w:after="0"/>
            </w:pPr>
            <w:r>
              <w:rPr>
                <w:sz w:val="19"/>
              </w:rPr>
              <w:t>VIP manager</w:t>
            </w:r>
          </w:p>
        </w:tc>
        <w:tc>
          <w:tcPr>
            <w:tcW w:type="dxa" w:w="3842"/>
          </w:tcPr>
          <w:p>
            <w:pPr>
              <w:spacing w:after="0"/>
            </w:pPr>
            <w:r>
              <w:rPr>
                <w:sz w:val="19"/>
              </w:rPr>
              <w:t>relationship, service, win-back</w:t>
            </w:r>
          </w:p>
        </w:tc>
        <w:tc>
          <w:tcPr>
            <w:tcW w:type="dxa" w:w="4337"/>
          </w:tcPr>
          <w:p>
            <w:pPr>
              <w:spacing w:after="0"/>
            </w:pPr>
            <w:r>
              <w:rPr>
                <w:sz w:val="19"/>
              </w:rPr>
              <w:t>most expensive, VIPs only</w:t>
            </w:r>
          </w:p>
        </w:tc>
      </w:tr>
    </w:tbl>
    <w:p>
      <w:pPr>
        <w:spacing w:after="40"/>
      </w:pPr>
    </w:p>
    <w:p>
      <w:r>
        <w:rPr/>
        <w:t>The channel steps up with the stage: while the player is active, in-app and push do the work, email is for details, SMS comes last.</w:t>
      </w:r>
    </w:p>
    <w:p>
      <w:pPr>
        <w:pStyle w:val="Heading2"/>
      </w:pPr>
      <w:r/>
      <w:r>
        <w:rPr/>
        <w:t>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8"/>
        <w:gridCol w:w="7973"/>
      </w:tblGrid>
      <w:tr>
        <w:tc>
          <w:tcPr>
            <w:tcW w:type="dxa" w:w="143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797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Data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Events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signup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kyc_verified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deposit_made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deposit_failed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ftd_completed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withdrawal_made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bonus_granted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wagering_completed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self_excluded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time_out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deposit_limit_set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kyc_rejected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deposit_limit_hit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vip_tier_changed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vip_risk_tier_changed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casino_first_bet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Attributes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kyc_status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ftd_completed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last_deposit_at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last_deposit_status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lifecycle_stage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rfm_segment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vip_tier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product_preference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rg_risk_tier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self_excluded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deposit_limit_set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bonus_abuse_flag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wagering_completed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decline_reason</w:t>
            </w:r>
            <w:r>
              <w:rPr>
                <w:sz w:val="19"/>
              </w:rPr>
              <w:t xml:space="preserve"> on the </w:t>
            </w:r>
            <w:r>
              <w:rPr>
                <w:rFonts w:ascii="Consolas" w:hAnsi="Consolas"/>
                <w:color w:val="552B00"/>
                <w:sz w:val="19"/>
              </w:rPr>
              <w:t>deposit_failed</w:t>
            </w:r>
            <w:r>
              <w:rPr>
                <w:sz w:val="19"/>
              </w:rPr>
              <w:t xml:space="preserve"> event, </w:t>
            </w:r>
            <w:r>
              <w:rPr>
                <w:rFonts w:ascii="Consolas" w:hAnsi="Consolas"/>
                <w:color w:val="552B00"/>
                <w:sz w:val="19"/>
              </w:rPr>
              <w:t>acquisition_channel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first_deposit_amount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value_tier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vip_risk_tier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consent_casino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552B00"/>
                <w:sz w:val="19"/>
              </w:rPr>
              <w:t>consent_sports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under_review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days_since_deposit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profile_completed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open_bets_count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552B00"/>
                <w:sz w:val="19"/>
              </w:rPr>
              <w:t>next_fav_match_at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