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Портфолио iGaming CRM - Павел Кольцов</w:t>
      </w:r>
    </w:p>
    <w:p>
      <w:r>
        <w:rPr/>
        <w:t>Я перехожу в iGaming CRM из операционного управления. За плечами пять лет собственного бизнеса в общепите с несколькими точками, управление продажами и франчайзингом, бэкенд-разработка на Python и обучение по AML, KYC, верификации игроков и поддержке клиентов для гемблинг-операторов.</w:t>
      </w:r>
    </w:p>
    <w:p>
      <w:r>
        <w:rPr/>
        <w:t>Это портфолио показывает, как я думаю в контексте CRM: плейбук lifecycle-кампаний, решения типовых CRM-задач и моя позиция по основным вопросам на тему CRM.</w:t>
      </w:r>
    </w:p>
    <w:p>
      <w:pPr>
        <w:pStyle w:val="Heading2"/>
      </w:pPr>
      <w:r/>
      <w:r>
        <w:rPr/>
        <w:t>Что внутри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9"/>
        <w:gridCol w:w="5722"/>
      </w:tblGrid>
      <w:tr>
        <w:tc>
          <w:tcPr>
            <w:tcW w:type="dxa" w:w="368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Раздел</w:t>
            </w:r>
          </w:p>
        </w:tc>
        <w:tc>
          <w:tcPr>
            <w:tcW w:type="dxa" w:w="572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показывает</w:t>
            </w:r>
          </w:p>
        </w:tc>
      </w:tr>
      <w:tr>
        <w:tc>
          <w:tcPr>
            <w:tcW w:type="dxa" w:w="3689"/>
          </w:tcPr>
          <w:p>
            <w:pPr>
              <w:spacing w:after="0"/>
            </w:pPr>
            <w:r>
              <w:rPr>
                <w:sz w:val="19"/>
              </w:rPr>
              <w:t>Плейбук и сценарии</w:t>
            </w:r>
          </w:p>
        </w:tc>
        <w:tc>
          <w:tcPr>
            <w:tcW w:type="dxa" w:w="5722"/>
          </w:tcPr>
          <w:p>
            <w:pPr>
              <w:spacing w:after="0"/>
            </w:pPr>
            <w:r>
              <w:rPr>
                <w:sz w:val="19"/>
              </w:rPr>
              <w:t>Шесть lifecycle-кампаний от регистрации до VIP: бриф, подробный сценарий по шагам, офферы, измерение с контрольной группой.</w:t>
            </w:r>
          </w:p>
        </w:tc>
      </w:tr>
      <w:tr>
        <w:tc>
          <w:tcPr>
            <w:tcW w:type="dxa" w:w="3689"/>
          </w:tcPr>
          <w:p>
            <w:pPr>
              <w:spacing w:after="0"/>
            </w:pPr>
            <w:r>
              <w:rPr>
                <w:sz w:val="19"/>
              </w:rPr>
              <w:t>Кейсы</w:t>
            </w:r>
          </w:p>
        </w:tc>
        <w:tc>
          <w:tcPr>
            <w:tcW w:type="dxa" w:w="5722"/>
          </w:tcPr>
          <w:p>
            <w:pPr>
              <w:spacing w:after="0"/>
            </w:pPr>
            <w:r>
              <w:rPr>
                <w:sz w:val="19"/>
              </w:rPr>
              <w:t>10 типовых CRM-задач по шагам: сегментация, падение retention, второй депозит, отток VIP, чтение отчёта кампании, бонус или контент, экономика бонусов, кросс-селл, вовлечённость против выручки, усталость от контактов</w:t>
            </w:r>
          </w:p>
        </w:tc>
      </w:tr>
      <w:tr>
        <w:tc>
          <w:tcPr>
            <w:tcW w:type="dxa" w:w="3689"/>
          </w:tcPr>
          <w:p>
            <w:pPr>
              <w:spacing w:after="0"/>
            </w:pPr>
            <w:r>
              <w:rPr>
                <w:sz w:val="19"/>
              </w:rPr>
              <w:t>Ответственная игра и бонус-абьюз</w:t>
            </w:r>
          </w:p>
        </w:tc>
        <w:tc>
          <w:tcPr>
            <w:tcW w:type="dxa" w:w="5722"/>
          </w:tcPr>
          <w:p>
            <w:pPr>
              <w:spacing w:after="0"/>
            </w:pPr>
            <w:r>
              <w:rPr>
                <w:sz w:val="19"/>
              </w:rPr>
              <w:t>Маркеры вреда, политика подавления, сигналы абьюза и граница ответственности CRM</w:t>
            </w:r>
          </w:p>
        </w:tc>
      </w:tr>
      <w:tr>
        <w:tc>
          <w:tcPr>
            <w:tcW w:type="dxa" w:w="3689"/>
          </w:tcPr>
          <w:p>
            <w:pPr>
              <w:spacing w:after="0"/>
            </w:pPr>
            <w:r>
              <w:rPr>
                <w:sz w:val="19"/>
              </w:rPr>
              <w:t>Вопросы CRM iGaming</w:t>
            </w:r>
          </w:p>
        </w:tc>
        <w:tc>
          <w:tcPr>
            <w:tcW w:type="dxa" w:w="5722"/>
          </w:tcPr>
          <w:p>
            <w:pPr>
              <w:spacing w:after="0"/>
            </w:pPr>
            <w:r>
              <w:rPr>
                <w:sz w:val="19"/>
              </w:rPr>
              <w:t>12 общих вопросов iGaming CRM и моя позиция по каждому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Принципы, по которым я работаю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Кампания стоит ровно столько, сколько она вызвала.</w:t>
      </w:r>
      <w:r>
        <w:rPr/>
        <w:t xml:space="preserve"> Считаю разницу со случайной контрольной группой. Число откликнувшихся само по себе ничего не говорит.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Решают деньги.</w:t>
      </w:r>
      <w:r>
        <w:rPr/>
        <w:t xml:space="preserve"> Смотрю на инкрементальный NGR после стоимости бонусов и каналов. Открытия, клики и число взятых бонусов - вспомогательные цифры.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Изменение метрики - это симптом.</w:t>
      </w:r>
      <w:r>
        <w:rPr/>
        <w:t xml:space="preserve"> Сначала понять причину, потом решать, что отправлять.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Поведение, а не календарь.</w:t>
      </w:r>
      <w:r>
        <w:rPr/>
        <w:t xml:space="preserve"> Сценарий начинается с действия игрока и заканчивается, когда он достиг цели.</w:t>
      </w:r>
    </w:p>
    <w:p>
      <w:pPr>
        <w:pStyle w:val="Heading2"/>
      </w:pPr>
      <w:r/>
      <w:r>
        <w:rPr/>
        <w:t>Обо мне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Основатель и операционный управляющий сети общепита (запустил, масштабировал, продал); раньше руководил отделом продаж и франчайзинга.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Бэкенд-разработчик на Python (Яндекс Практикум), Telegram-боты и автоматизация.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Сертификаты: SumSub (Fraud Prevention, AML Transaction Monitoring), Casino Guru Academy (Player Verification &amp; AML; Customer Support &amp; Complaints), Chainalysis, HubSpot Inbound Marketing.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Удалённая работа, готов к релокации.</w:t>
      </w:r>
    </w:p>
    <w:p>
      <w:r>
        <w:rPr/>
        <w:t>LinkedIn: linkedin.com/in/eminencesaul | p.kolt080@gmail.com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