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02 - Падение Retention.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Стоит проверить CRM-сценарии. Но прежде чем их трогать, нужно проверить, не изменились ли сами игроки. Падение общей метрики часто означает смену состава трафика.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M1 retention (доля новых депозиторов месяца, которые снова играют в дни 30-59) был около 50% у когорт марта-апреля и 47% у когорт мая-июля.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Онбординг-сценарий не менялся с марта.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В мае маркетинг запустил большую кампанию.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Руководитель CRM спрашивает: почему наш онбординг перестал работать?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>Retention может упасть, потому что продукт стал хуже, сломались платежи, сценарий перестал срабатывать или пришли другие люди. CRM - только одна из этих причин. Я иду по ним по порядку и начинаю с самой дешёвой проверки: кто наши новые игроки?</w:t>
      </w:r>
    </w:p>
    <w:p>
      <w:r>
        <w:rPr/>
      </w:r>
      <w:r>
        <w:rPr>
          <w:b/>
        </w:rPr>
        <w:t>Шаг 1. Убедиться, что падение настоящее.</w:t>
      </w:r>
      <w:r>
        <w:rPr/>
        <w:t xml:space="preserve"> Если июльскую когорту сравнить с мартовской раньше, чем у всех прошёл 59-й день, "падение" - это просто недостающее время. Сравниваем только завершённые когорты.</w:t>
      </w:r>
    </w:p>
    <w:p>
      <w:r>
        <w:rPr/>
      </w:r>
      <w:r>
        <w:rPr>
          <w:b/>
        </w:rPr>
        <w:t>Шаг 2. Разбить по каналу привлечения.</w:t>
      </w:r>
      <w:r>
        <w:rPr/>
        <w:t xml:space="preserve"> Допустим, я вижу: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1"/>
        <w:gridCol w:w="2281"/>
        <w:gridCol w:w="1616"/>
        <w:gridCol w:w="1616"/>
        <w:gridCol w:w="1616"/>
      </w:tblGrid>
      <w:tr>
        <w:tc>
          <w:tcPr>
            <w:tcW w:type="dxa" w:w="228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Канал</w:t>
            </w:r>
          </w:p>
        </w:tc>
        <w:tc>
          <w:tcPr>
            <w:tcW w:type="dxa" w:w="228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Доля новых депозиторов, мар-апр</w:t>
            </w:r>
          </w:p>
        </w:tc>
        <w:tc>
          <w:tcPr>
            <w:tcW w:type="dxa" w:w="161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Доля, май-июл</w:t>
            </w:r>
          </w:p>
        </w:tc>
        <w:tc>
          <w:tcPr>
            <w:tcW w:type="dxa" w:w="161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M1, мар-апр</w:t>
            </w:r>
          </w:p>
        </w:tc>
        <w:tc>
          <w:tcPr>
            <w:tcW w:type="dxa" w:w="161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M1, май-июл</w:t>
            </w:r>
          </w:p>
        </w:tc>
      </w:tr>
      <w:tr>
        <w:tc>
          <w:tcPr>
            <w:tcW w:type="dxa" w:w="2281"/>
          </w:tcPr>
          <w:p>
            <w:pPr>
              <w:spacing w:after="0"/>
            </w:pPr>
            <w:r>
              <w:rPr>
                <w:sz w:val="19"/>
              </w:rPr>
              <w:t>Paid social</w:t>
            </w:r>
          </w:p>
        </w:tc>
        <w:tc>
          <w:tcPr>
            <w:tcW w:type="dxa" w:w="2281"/>
          </w:tcPr>
          <w:p>
            <w:pPr>
              <w:spacing w:after="0"/>
            </w:pPr>
            <w:r>
              <w:rPr>
                <w:sz w:val="19"/>
              </w:rPr>
              <w:t>7%</w:t>
            </w:r>
          </w:p>
        </w:tc>
        <w:tc>
          <w:tcPr>
            <w:tcW w:type="dxa" w:w="1616"/>
          </w:tcPr>
          <w:p>
            <w:pPr>
              <w:spacing w:after="0"/>
            </w:pPr>
            <w:r>
              <w:rPr>
                <w:sz w:val="19"/>
              </w:rPr>
              <w:t>20%</w:t>
            </w:r>
          </w:p>
        </w:tc>
        <w:tc>
          <w:tcPr>
            <w:tcW w:type="dxa" w:w="1616"/>
          </w:tcPr>
          <w:p>
            <w:pPr>
              <w:spacing w:after="0"/>
            </w:pPr>
            <w:r>
              <w:rPr>
                <w:sz w:val="19"/>
              </w:rPr>
              <w:t>30%</w:t>
            </w:r>
          </w:p>
        </w:tc>
        <w:tc>
          <w:tcPr>
            <w:tcW w:type="dxa" w:w="1616"/>
          </w:tcPr>
          <w:p>
            <w:pPr>
              <w:spacing w:after="0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281"/>
          </w:tcPr>
          <w:p>
            <w:pPr>
              <w:spacing w:after="0"/>
            </w:pPr>
            <w:r>
              <w:rPr>
                <w:sz w:val="19"/>
              </w:rPr>
              <w:t>Все остальные каналы</w:t>
            </w:r>
          </w:p>
        </w:tc>
        <w:tc>
          <w:tcPr>
            <w:tcW w:type="dxa" w:w="2281"/>
          </w:tcPr>
          <w:p>
            <w:pPr>
              <w:spacing w:after="0"/>
            </w:pPr>
            <w:r>
              <w:rPr>
                <w:sz w:val="19"/>
              </w:rPr>
              <w:t>93%</w:t>
            </w:r>
          </w:p>
        </w:tc>
        <w:tc>
          <w:tcPr>
            <w:tcW w:type="dxa" w:w="1616"/>
          </w:tcPr>
          <w:p>
            <w:pPr>
              <w:spacing w:after="0"/>
            </w:pPr>
            <w:r>
              <w:rPr>
                <w:sz w:val="19"/>
              </w:rPr>
              <w:t>80%</w:t>
            </w:r>
          </w:p>
        </w:tc>
        <w:tc>
          <w:tcPr>
            <w:tcW w:type="dxa" w:w="1616"/>
          </w:tcPr>
          <w:p>
            <w:pPr>
              <w:spacing w:after="0"/>
            </w:pPr>
            <w:r>
              <w:rPr>
                <w:sz w:val="19"/>
              </w:rPr>
              <w:t>51%</w:t>
            </w:r>
          </w:p>
        </w:tc>
        <w:tc>
          <w:tcPr>
            <w:tcW w:type="dxa" w:w="1616"/>
          </w:tcPr>
          <w:p>
            <w:pPr>
              <w:spacing w:after="0"/>
            </w:pPr>
            <w:r>
              <w:rPr>
                <w:sz w:val="19"/>
              </w:rPr>
              <w:t>51%</w:t>
            </w:r>
          </w:p>
        </w:tc>
      </w:tr>
    </w:tbl>
    <w:p>
      <w:pPr>
        <w:spacing w:after="40"/>
      </w:pPr>
    </w:p>
    <w:p>
      <w:r>
        <w:rPr/>
        <w:t>Внутри каналов retention почти не сдвинулся. Изменился состав: канал с низким retention вырос с 7% до 20% новых игроков.</w:t>
      </w:r>
    </w:p>
    <w:p>
      <w:r>
        <w:rPr/>
      </w:r>
      <w:r>
        <w:rPr>
          <w:b/>
        </w:rPr>
        <w:t>Шаг 3. Разложить изменение.</w:t>
      </w:r>
      <w:r>
        <w:rPr/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Состав</w:t>
      </w:r>
      <w:r>
        <w:rPr/>
        <w:t xml:space="preserve"> = Σ (новая доля - старая доля) × старый retention: что было бы, если бы изменились только доли.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Показатель</w:t>
      </w:r>
      <w:r>
        <w:rPr/>
        <w:t xml:space="preserve"> = Σ старая доля × (новый retention - старый retention): что было бы, если бы изменился только retention внутри каналов.</w:t>
      </w:r>
    </w:p>
    <w:p>
      <w:r>
        <w:rPr/>
        <w:t>В этом примере почти всё падение (около 2,5 пункта) - эффект состава.</w:t>
      </w:r>
    </w:p>
    <w:p>
      <w:r>
        <w:rPr/>
      </w:r>
      <w:r>
        <w:rPr>
          <w:b/>
        </w:rPr>
        <w:t>Шаг 4. Стандартизировать.</w:t>
      </w:r>
      <w:r>
        <w:rPr/>
        <w:t xml:space="preserve"> Пересчитать retention каждого месяца так, будто доли каналов остались на уровне марта-апреля. Если эта линия ровная, со сценарием всё в порядке.</w:t>
      </w:r>
    </w:p>
    <w:p>
      <w:pPr>
        <w:pStyle w:val="Heading2"/>
      </w:pPr>
      <w:r/>
      <w:r>
        <w:rPr/>
        <w:t>Что я бы сделал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Дать игрокам из paid social собственный онбординг:</w:t>
      </w:r>
      <w:r>
        <w:rPr/>
        <w:t xml:space="preserve"> более лёгкая первая сессия, больше контента о продукте в первую неделю, бонус не менять. Трафик с низким намерением, которому предлагают больше денег, приводит к бонус-хантингу.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Совместное решение с командой маркетинга.</w:t>
      </w:r>
      <w:r>
        <w:rPr/>
        <w:t xml:space="preserve"> Paid social нужно оценивать по M1 и NGR на игрока за 90 дней. Стоимость первого депозита тут мало что говорит: дешёвый FTD, который не возвращается, на самом деле не дешёвый.</w:t>
      </w:r>
    </w:p>
    <w:p>
      <w:pPr>
        <w:pStyle w:val="Heading2"/>
      </w:pPr>
      <w:r/>
      <w:r>
        <w:rPr/>
        <w:t>Если дело не в составе</w:t>
      </w:r>
    </w:p>
    <w:p>
      <w:r>
        <w:rPr/>
        <w:t>Смотрим дальше: неудачные платежи и отклонённые депозиты, проблемы в KYC, сбои продукта, изменения welcome-оффера, отправляется ли сценарий на самом деле (доставляемость, сломанные триггеры) и сезонность (окончание крупного футбольного турнира каждый раз меняет retention в спорте).</w:t>
      </w:r>
    </w:p>
    <w:p>
      <w:pPr>
        <w:pStyle w:val="Heading2"/>
      </w:pPr>
      <w:r/>
      <w:r>
        <w:rPr/>
        <w:t>Как я бы измерял исправление</w:t>
      </w:r>
    </w:p>
    <w:p>
      <w:r>
        <w:rPr/>
        <w:t>Трек для paid social идёт в тест 50/50 против текущего сценария, только среди игроков из paid social. Главный KPI: M1 retention. Дополнительный: NGR на игрока за 30 дней.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