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06 - Тестирование: Нужен ли ушедшим игрокам бонус, или хватит контента?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контрольная группа плюс несколько вариантов (полный бонус, меньший бонус, только контент) в одинаковых каналах. Оценка - по инкрементальному NGR за вычетом стоимости бонусов.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Около 4 000 игроков, чей последний депозит был 60-240 дней назад.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Текущее предложение для реактивации: "внеси €20, получи €20 бонуса".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Head of CRM считает, что бонус необходим.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Здесь два отдельных вопроса, и для них нужны разные сравнения: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Работает ли вообще контакт с этими игроками?</w:t>
      </w:r>
      <w:r>
        <w:rPr/>
        <w:t xml:space="preserve"> Это сравнение каждого варианта с контрольной группой без контакта.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Какой вариант лучше работает за свои деньги?</w:t>
      </w:r>
      <w:r>
        <w:rPr/>
        <w:t xml:space="preserve"> Это сравнение вариантов между собой.</w:t>
      </w:r>
    </w:p>
    <w:p>
      <w:r>
        <w:rPr/>
        <w:t>Многие тесты сравнивают только A с B и так и не узнают, что оба варианта ничем не лучше бездействия.</w:t>
      </w:r>
    </w:p>
    <w:p>
      <w:pPr>
        <w:pStyle w:val="Heading2"/>
      </w:pPr>
      <w:r/>
      <w:r>
        <w:rPr/>
        <w:t>Дизайн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5597"/>
        <w:gridCol w:w="1907"/>
      </w:tblGrid>
      <w:tr>
        <w:tc>
          <w:tcPr>
            <w:tcW w:type="dxa" w:w="19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559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получает</w:t>
            </w:r>
          </w:p>
        </w:tc>
        <w:tc>
          <w:tcPr>
            <w:tcW w:type="dxa" w:w="19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Доля</w:t>
            </w:r>
          </w:p>
        </w:tc>
      </w:tr>
      <w:tr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Контрольная</w:t>
            </w:r>
          </w:p>
        </w:tc>
        <w:tc>
          <w:tcPr>
            <w:tcW w:type="dxa" w:w="5597"/>
          </w:tcPr>
          <w:p>
            <w:pPr>
              <w:spacing w:after="0"/>
            </w:pPr>
            <w:r>
              <w:rPr>
                <w:sz w:val="19"/>
              </w:rPr>
              <w:t>ничего</w:t>
            </w:r>
          </w:p>
        </w:tc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5597"/>
          </w:tcPr>
          <w:p>
            <w:pPr>
              <w:spacing w:after="0"/>
            </w:pPr>
            <w:r>
              <w:rPr>
                <w:sz w:val="19"/>
              </w:rPr>
              <w:t>100% к депозиту до €20</w:t>
            </w:r>
          </w:p>
        </w:tc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5597"/>
          </w:tcPr>
          <w:p>
            <w:pPr>
              <w:spacing w:after="0"/>
            </w:pPr>
            <w:r>
              <w:rPr>
                <w:sz w:val="19"/>
              </w:rPr>
              <w:t>50% к депозиту до €10</w:t>
            </w:r>
          </w:p>
        </w:tc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5597"/>
          </w:tcPr>
          <w:p>
            <w:pPr>
              <w:spacing w:after="0"/>
            </w:pPr>
            <w:r>
              <w:rPr>
                <w:sz w:val="19"/>
              </w:rPr>
              <w:t>персональный контент без бонуса (игры, в которые играл, новинки в этой категории)</w:t>
            </w:r>
          </w:p>
        </w:tc>
        <w:tc>
          <w:tcPr>
            <w:tcW w:type="dxa" w:w="1907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Одинаковые канал и время для всех вариантов</w:t>
      </w:r>
      <w:r>
        <w:rPr/>
        <w:t xml:space="preserve"> (email + пуш в день 0, напоминание в день 3).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Случайное распределение</w:t>
      </w:r>
      <w:r>
        <w:rPr/>
        <w:t xml:space="preserve"> до любой отправки.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Исключения до сплита:</w:t>
      </w:r>
      <w:r>
        <w:rPr/>
        <w:t xml:space="preserve"> самоисключённые, высокий RG-риск, флаги бонус-абьюза, игроки с активным бонусом.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Основной KPI:</w:t>
      </w:r>
      <w:r>
        <w:rPr/>
        <w:t xml:space="preserve"> депозит в течение 14 дней. </w:t>
      </w:r>
      <w:r>
        <w:rPr>
          <w:b/>
        </w:rPr>
        <w:t>Метрика для решения:</w:t>
      </w:r>
      <w:r>
        <w:rPr/>
        <w:t xml:space="preserve"> инкрементальный NGR на игрока за 30 дней. А также стоимость бонусов на одну </w:t>
      </w:r>
      <w:r>
        <w:rPr>
          <w:i/>
        </w:rPr>
        <w:t>инкрементальную</w:t>
      </w:r>
      <w:r>
        <w:rPr/>
        <w:t xml:space="preserve"> реактивацию.</w:t>
      </w:r>
    </w:p>
    <w:p>
      <w:pPr>
        <w:pStyle w:val="Heading2"/>
      </w:pPr>
      <w:r/>
      <w:r>
        <w:rPr/>
        <w:t>Как может выглядеть типичный результат и как я бы решал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9"/>
        <w:gridCol w:w="4338"/>
        <w:gridCol w:w="3554"/>
      </w:tblGrid>
      <w:tr>
        <w:tc>
          <w:tcPr>
            <w:tcW w:type="dxa" w:w="151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43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Реактивация vs контрольная группа</w:t>
            </w:r>
          </w:p>
        </w:tc>
        <w:tc>
          <w:tcPr>
            <w:tcW w:type="dxa" w:w="355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Стоимость бонусов на инкрементальную реактивацию</w:t>
            </w:r>
          </w:p>
        </w:tc>
      </w:tr>
      <w:tr>
        <w:tc>
          <w:tcPr>
            <w:tcW w:type="dxa" w:w="1519"/>
          </w:tcPr>
          <w:p>
            <w:pPr>
              <w:spacing w:after="0"/>
            </w:pPr>
            <w:r>
              <w:rPr>
                <w:sz w:val="19"/>
              </w:rPr>
              <w:t>A (€20)</w:t>
            </w:r>
          </w:p>
        </w:tc>
        <w:tc>
          <w:tcPr>
            <w:tcW w:type="dxa" w:w="4338"/>
          </w:tcPr>
          <w:p>
            <w:pPr>
              <w:spacing w:after="0"/>
            </w:pPr>
            <w:r>
              <w:rPr>
                <w:sz w:val="19"/>
              </w:rPr>
              <w:t>самая высокая</w:t>
            </w:r>
          </w:p>
        </w:tc>
        <w:tc>
          <w:tcPr>
            <w:tcW w:type="dxa" w:w="3554"/>
          </w:tcPr>
          <w:p>
            <w:pPr>
              <w:spacing w:after="0"/>
            </w:pPr>
            <w:r>
              <w:rPr>
                <w:sz w:val="19"/>
              </w:rPr>
              <w:t>самая высокая</w:t>
            </w:r>
          </w:p>
        </w:tc>
      </w:tr>
      <w:tr>
        <w:tc>
          <w:tcPr>
            <w:tcW w:type="dxa" w:w="1519"/>
          </w:tcPr>
          <w:p>
            <w:pPr>
              <w:spacing w:after="0"/>
            </w:pPr>
            <w:r>
              <w:rPr>
                <w:sz w:val="19"/>
              </w:rPr>
              <w:t>B (€10)</w:t>
            </w:r>
          </w:p>
        </w:tc>
        <w:tc>
          <w:tcPr>
            <w:tcW w:type="dxa" w:w="4338"/>
          </w:tcPr>
          <w:p>
            <w:pPr>
              <w:spacing w:after="0"/>
            </w:pPr>
            <w:r>
              <w:rPr>
                <w:sz w:val="19"/>
              </w:rPr>
              <w:t>немного ниже, чем у A</w:t>
            </w:r>
          </w:p>
        </w:tc>
        <w:tc>
          <w:tcPr>
            <w:tcW w:type="dxa" w:w="3554"/>
          </w:tcPr>
          <w:p>
            <w:pPr>
              <w:spacing w:after="0"/>
            </w:pPr>
            <w:r>
              <w:rPr>
                <w:sz w:val="19"/>
              </w:rPr>
              <w:t>примерно половина от A</w:t>
            </w:r>
          </w:p>
        </w:tc>
      </w:tr>
      <w:tr>
        <w:tc>
          <w:tcPr>
            <w:tcW w:type="dxa" w:w="1519"/>
          </w:tcPr>
          <w:p>
            <w:pPr>
              <w:spacing w:after="0"/>
            </w:pPr>
            <w:r>
              <w:rPr>
                <w:sz w:val="19"/>
              </w:rPr>
              <w:t>C (контент)</w:t>
            </w:r>
          </w:p>
        </w:tc>
        <w:tc>
          <w:tcPr>
            <w:tcW w:type="dxa" w:w="4338"/>
          </w:tcPr>
          <w:p>
            <w:pPr>
              <w:spacing w:after="0"/>
            </w:pPr>
            <w:r>
              <w:rPr>
                <w:sz w:val="19"/>
              </w:rPr>
              <w:t>заметно выше контроля, но сильно ниже A и B</w:t>
            </w:r>
          </w:p>
        </w:tc>
        <w:tc>
          <w:tcPr>
            <w:tcW w:type="dxa" w:w="3554"/>
          </w:tcPr>
          <w:p>
            <w:pPr>
              <w:spacing w:after="0"/>
            </w:pPr>
            <w:r>
              <w:rPr>
                <w:sz w:val="19"/>
              </w:rPr>
              <w:t>ноль</w:t>
            </w:r>
          </w:p>
        </w:tc>
      </w:tr>
    </w:tbl>
    <w:p>
      <w:pPr>
        <w:spacing w:after="40"/>
      </w:pPr>
    </w:p>
    <w:p>
      <w:r>
        <w:rPr/>
        <w:t xml:space="preserve">Если разница A vs B незначима, я не стал бы платить вдвое за эффект, который не могу доказать. По умолчанию я бы выбрал </w:t>
      </w:r>
      <w:r>
        <w:rPr>
          <w:b/>
        </w:rPr>
        <w:t>B для массы игроков низкой и средней ценности</w:t>
      </w:r>
      <w:r>
        <w:rPr/>
        <w:t>, а A - для игроков высокой ценности, где дополнительная реактивация стоит дороже. Потом я бы повторил A vs B на большей выборке, прежде чем закрепить правило.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