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07 - Расходы на бонусы выросли на 35%, а NGR стоит на месте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выяснить, какие бонусные программы реально измеряются, понять, сколько на самом деле стоит каждый бонус после отыгрыша, и перевести деньги из бонусов "для всех" в таргетированные и протестированные.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Расходы на бонусы выросли на 35%, GGR и NGR не растут.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Бонусные программы: еженедельный VIP-кэшбэк, reload по пятницам для всех, приветственный бонус, win-back предложения, фриспины.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Отыгрыш приветственного бонуса недавно снизили с 35x до 10x, чтобы сделать предложение привлекательнее.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"Бонусов больше, доход тот же" обычно означает одно из четырёх: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  <w:t>Бонусы достаются игрокам, которые и так внесли бы депозит.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  <w:t>Все получают одно и то же предложение, включая тех, кому оно не нужно.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  <w:t>Предложение привлекает людей, которые берут бонус, играют по минимуму и уходят.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  <w:t>Сам бонус подорожал.</w:t>
      </w:r>
    </w:p>
    <w:p>
      <w:pPr>
        <w:pStyle w:val="Heading2"/>
      </w:pPr>
      <w:r/>
      <w:r>
        <w:rPr/>
        <w:t>Шаг 1. P&amp;L по каждой программе - таблица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5"/>
        <w:gridCol w:w="1656"/>
        <w:gridCol w:w="1656"/>
        <w:gridCol w:w="2138"/>
        <w:gridCol w:w="1656"/>
      </w:tblGrid>
      <w:tr>
        <w:tc>
          <w:tcPr>
            <w:tcW w:type="dxa" w:w="230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Программа</w:t>
            </w:r>
          </w:p>
        </w:tc>
        <w:tc>
          <w:tcPr>
            <w:tcW w:type="dxa" w:w="165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Стоимость</w:t>
            </w:r>
          </w:p>
        </w:tc>
        <w:tc>
          <w:tcPr>
            <w:tcW w:type="dxa" w:w="165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Доля от общей суммы</w:t>
            </w:r>
          </w:p>
        </w:tc>
        <w:tc>
          <w:tcPr>
            <w:tcW w:type="dxa" w:w="21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Сколько из этого стало выводимыми деньгами</w:t>
            </w:r>
          </w:p>
        </w:tc>
        <w:tc>
          <w:tcPr>
            <w:tcW w:type="dxa" w:w="165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Измерялась с холдаутом?</w:t>
            </w:r>
          </w:p>
        </w:tc>
      </w:tr>
      <w:tr>
        <w:tc>
          <w:tcPr>
            <w:tcW w:type="dxa" w:w="2305"/>
          </w:tcPr>
          <w:p>
            <w:pPr>
              <w:spacing w:after="0"/>
            </w:pPr>
            <w:r>
              <w:rPr>
                <w:sz w:val="19"/>
              </w:rPr>
              <w:t>VIP-кэшбэк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2138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?</w:t>
            </w:r>
          </w:p>
        </w:tc>
      </w:tr>
      <w:tr>
        <w:tc>
          <w:tcPr>
            <w:tcW w:type="dxa" w:w="2305"/>
          </w:tcPr>
          <w:p>
            <w:pPr>
              <w:spacing w:after="0"/>
            </w:pPr>
            <w:r>
              <w:rPr>
                <w:sz w:val="19"/>
              </w:rPr>
              <w:t>Reload по пятницам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2138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?</w:t>
            </w:r>
          </w:p>
        </w:tc>
      </w:tr>
      <w:tr>
        <w:tc>
          <w:tcPr>
            <w:tcW w:type="dxa" w:w="2305"/>
          </w:tcPr>
          <w:p>
            <w:pPr>
              <w:spacing w:after="0"/>
            </w:pPr>
            <w:r>
              <w:rPr>
                <w:sz w:val="19"/>
              </w:rPr>
              <w:t>Приветственный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2138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?</w:t>
            </w:r>
          </w:p>
        </w:tc>
      </w:tr>
      <w:tr>
        <w:tc>
          <w:tcPr>
            <w:tcW w:type="dxa" w:w="2305"/>
          </w:tcPr>
          <w:p>
            <w:pPr>
              <w:spacing w:after="0"/>
            </w:pPr>
            <w:r>
              <w:rPr>
                <w:sz w:val="19"/>
              </w:rPr>
              <w:t>Win-back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2138"/>
          </w:tcPr>
          <w:p>
            <w:pPr>
              <w:spacing w:after="0"/>
            </w:pPr>
            <w:r>
              <w:rPr>
                <w:sz w:val="19"/>
              </w:rPr>
              <w:t>...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9"/>
              </w:rPr>
              <w:t>?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Шаг 2. Понять, сколько на самом деле стоит бонус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Бухгалтерская стоимость: сумма выданных или использованных бонусов. Именно её вычитают из GGR, когда считают NGR.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Какая часть бонуса превратилась в деньги, которые игрок может вывести.</w:t>
      </w:r>
    </w:p>
    <w:p>
      <w:r>
        <w:rPr/>
        <w:t>Вторую цифру определяет отыгрыш. Когда игрок отыгрывает бонус, преимущество казино съедает часть суммы на каждой ставке.</w:t>
      </w:r>
    </w:p>
    <w:p>
      <w:r>
        <w:rPr/>
        <w:t>Снижение отыгрыша с 35x до 10x могло сделать приветственное предложение в разы дороже на игрока и привлекательнее для бонус-хантеров.</w:t>
      </w:r>
    </w:p>
    <w:p>
      <w:r>
        <w:rPr/>
        <w:t>Простой пример. Бонус €100, отыгрыш на слотах с RTP 96%, то есть казино в среднем забирает 4% с каждой ставки.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35x: нужно поставить €3 500, в среднем на этом теряется €140. Это больше самого бонуса, поэтому до вывода бонусных денег доходят немногие, и реальная стоимость бонуса для казино небольшая.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10x: нужно поставить €1 000, в среднем теряется €40. Из €100 бонуса около €60 может стать деньгами, которые игрок выведет.</w:t>
      </w:r>
    </w:p>
    <w:p>
      <w:r>
        <w:rPr/>
        <w:t>При том же размере бонуса его реальная стоимость выросла почти с нуля до ~€60 на игрока. Это упрощение: не учтены разброс результатов и те, кто проиграл раньше. Но порядок цифр понятен.</w:t>
      </w:r>
    </w:p>
    <w:p>
      <w:pPr>
        <w:pStyle w:val="Heading2"/>
      </w:pPr>
      <w:r/>
      <w:r>
        <w:rPr/>
        <w:t>Шаг 3. Искать "каннибализацию" и зависимость от бонусов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Reload:</w:t>
      </w:r>
      <w:r>
        <w:rPr/>
        <w:t xml:space="preserve"> какая доля расходов на reload уходит игрокам, которые вносили депозит почти каждую пятницу ещё до того, как получили хоть один reload?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Зависимость от бонусов:</w:t>
      </w:r>
      <w:r>
        <w:rPr/>
        <w:t xml:space="preserve"> игроки, у которых бонусы составляют большую долю их собственных депозитов.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Приветственный бонус:</w:t>
      </w:r>
      <w:r>
        <w:rPr/>
        <w:t xml:space="preserve"> после изменения отыгрыша выросла ли доля игроков, которые вносят один депозит, отыгрывают бонус и выводят деньги?</w:t>
      </w:r>
    </w:p>
    <w:p>
      <w:pPr>
        <w:pStyle w:val="Heading2"/>
      </w:pPr>
      <w:r/>
      <w:r>
        <w:rPr/>
        <w:t>Что я бы сделал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Сначала холдаут на самой большой непротестированной программе.</w:t>
      </w:r>
      <w:r>
        <w:rPr/>
        <w:t xml:space="preserve"> Обычно это VIP-кэшбэк: 10% VIP на квартал без кэшбэка, с оценкой по удержанию VIP и NGR.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Заменить reload "для всех" для игроков, которые и так регулярно вносят депозиты,</w:t>
      </w:r>
      <w:r>
        <w:rPr/>
        <w:t xml:space="preserve"> на неденежное признание, с тестом 50/50 на не-худший результат (non-inferiority): раскатывать, только если их депозиты не упадут.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Поправить экономику приветственного бонуса:</w:t>
      </w:r>
      <w:r>
        <w:rPr/>
        <w:t xml:space="preserve"> снизить максимальную сумму или перевести часть в фриспины с ограничением выигрыша; паттерн "один депозит и вывод" передать в правила против абьюза.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Показывать по каждому бонусу две цифры стоимости,</w:t>
      </w:r>
      <w:r>
        <w:rPr/>
        <w:t xml:space="preserve"> бухгалтерскую и конверсию в деньги, чтобы видели реальный отток.</w:t>
      </w:r>
    </w:p>
    <w:p>
      <w:pPr>
        <w:pStyle w:val="Heading2"/>
      </w:pPr>
      <w:r/>
      <w:r>
        <w:rPr/>
        <w:t>Как я бы измерял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Основная метрика для каждой бонусной программы: </w:t>
      </w:r>
      <w:r>
        <w:rPr>
          <w:b/>
        </w:rPr>
        <w:t>инкрементальный NGR</w:t>
      </w:r>
      <w:r>
        <w:rPr/>
        <w:t xml:space="preserve"> относительно контрольной группы.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Доля расходов на бонусы (стоимость бонусов / GGR) в разрезе программ.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