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08 - Кросс-селл игроков из ставок на спорт в казино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делаю кросс-селл только тем, у кого уже есть хоть какой-то интерес к казино, и только когда они не заняты спортом. Сначала даю контент про один продукт. Оцениваю по инкрементальному NGR обоих продуктов вместе, чтобы не получилось, что деньги просто переложили из одного кошелька в другой.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40% активных игроков ставят только на спорт.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Руководство хочет, чтобы больше из них попробовали казино: мультипродуктовые игроки выглядят ценнее.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Как сейчас: баннер "Попробуй казино - получи 50 фриспинов" для всех игроков в спорте.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 xml:space="preserve">"Мультипродуктовые игроки ценнее" - это корреляция. Те, кому уже нравятся оба продукта, скорее всего, в целом вовлечённее. Из этого не следует, что если навязать казино чистому беттеру, он станет ценнее. Вопрос в том, создаёт ли кросс-селл </w:t>
      </w:r>
      <w:r>
        <w:rPr>
          <w:b/>
        </w:rPr>
        <w:t>дополнительную</w:t>
      </w:r>
      <w:r>
        <w:rPr/>
        <w:t xml:space="preserve"> ценность или просто перетаскивает деньги из спорта в казино.</w:t>
      </w:r>
    </w:p>
    <w:p>
      <w:pPr>
        <w:pStyle w:val="Heading2"/>
      </w:pPr>
      <w:r/>
      <w:r>
        <w:rPr/>
        <w:t>Сегментация</w:t>
      </w:r>
    </w:p>
    <w:p>
      <w:r>
        <w:rPr/>
        <w:t>Я бы не считал "игроков в спорте" одной группой: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08"/>
        <w:gridCol w:w="5503"/>
      </w:tblGrid>
      <w:tr>
        <w:tc>
          <w:tcPr>
            <w:tcW w:type="dxa" w:w="390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Сегмент</w:t>
            </w:r>
          </w:p>
        </w:tc>
        <w:tc>
          <w:tcPr>
            <w:tcW w:type="dxa" w:w="550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Вероятная реакция</w:t>
            </w:r>
          </w:p>
        </w:tc>
      </w:tr>
      <w:tr>
        <w:tc>
          <w:tcPr>
            <w:tcW w:type="dxa" w:w="3908"/>
          </w:tcPr>
          <w:p>
            <w:pPr>
              <w:spacing w:after="0"/>
            </w:pPr>
            <w:r>
              <w:rPr>
                <w:sz w:val="19"/>
              </w:rPr>
              <w:t>Уже заходили в казино (демо, одна сессия)</w:t>
            </w:r>
          </w:p>
        </w:tc>
        <w:tc>
          <w:tcPr>
            <w:tcW w:type="dxa" w:w="5503"/>
          </w:tcPr>
          <w:p>
            <w:pPr>
              <w:spacing w:after="0"/>
            </w:pPr>
            <w:r>
              <w:rPr>
                <w:sz w:val="19"/>
              </w:rPr>
              <w:t>самый высокий интерес, начинаю с них</w:t>
            </w:r>
          </w:p>
        </w:tc>
      </w:tr>
      <w:tr>
        <w:tc>
          <w:tcPr>
            <w:tcW w:type="dxa" w:w="3908"/>
          </w:tcPr>
          <w:p>
            <w:pPr>
              <w:spacing w:after="0"/>
            </w:pPr>
            <w:r>
              <w:rPr>
                <w:sz w:val="19"/>
              </w:rPr>
              <w:t>Часто ставят на спорт</w:t>
            </w:r>
          </w:p>
        </w:tc>
        <w:tc>
          <w:tcPr>
            <w:tcW w:type="dxa" w:w="5503"/>
          </w:tcPr>
          <w:p>
            <w:pPr>
              <w:spacing w:after="0"/>
            </w:pPr>
            <w:r>
              <w:rPr>
                <w:sz w:val="19"/>
              </w:rPr>
              <w:t>вовлечены, им могут зайти быстрые игры</w:t>
            </w:r>
          </w:p>
        </w:tc>
      </w:tr>
      <w:tr>
        <w:tc>
          <w:tcPr>
            <w:tcW w:type="dxa" w:w="3908"/>
          </w:tcPr>
          <w:p>
            <w:pPr>
              <w:spacing w:after="0"/>
            </w:pPr>
            <w:r>
              <w:rPr>
                <w:sz w:val="19"/>
              </w:rPr>
              <w:t>Ставят только по выходным, под события</w:t>
            </w:r>
          </w:p>
        </w:tc>
        <w:tc>
          <w:tcPr>
            <w:tcW w:type="dxa" w:w="5503"/>
          </w:tcPr>
          <w:p>
            <w:pPr>
              <w:spacing w:after="0"/>
            </w:pPr>
            <w:r>
              <w:rPr>
                <w:sz w:val="19"/>
              </w:rPr>
              <w:t>интерес низкий, приходят ради футбола</w:t>
            </w:r>
          </w:p>
        </w:tc>
      </w:tr>
      <w:tr>
        <w:tc>
          <w:tcPr>
            <w:tcW w:type="dxa" w:w="3908"/>
          </w:tcPr>
          <w:p>
            <w:pPr>
              <w:spacing w:after="0"/>
            </w:pPr>
            <w:r>
              <w:rPr>
                <w:sz w:val="19"/>
              </w:rPr>
              <w:t>Ценные игроки в спорте</w:t>
            </w:r>
          </w:p>
        </w:tc>
        <w:tc>
          <w:tcPr>
            <w:tcW w:type="dxa" w:w="5503"/>
          </w:tcPr>
          <w:p>
            <w:pPr>
              <w:spacing w:after="0"/>
            </w:pPr>
            <w:r>
              <w:rPr>
                <w:sz w:val="19"/>
              </w:rPr>
              <w:t>осторожно: если ломать их привычки, можно задеть основную выручку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Сценарий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1258"/>
        <w:gridCol w:w="5933"/>
      </w:tblGrid>
      <w:tr>
        <w:tc>
          <w:tcPr>
            <w:tcW w:type="dxa" w:w="222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125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593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Контент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sz w:val="19"/>
              </w:rPr>
              <w:t>Спокойный момент (нет крупных матчей, после выходных)</w:t>
            </w:r>
          </w:p>
        </w:tc>
        <w:tc>
          <w:tcPr>
            <w:tcW w:type="dxa" w:w="1258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5933"/>
          </w:tcPr>
          <w:p>
            <w:pPr>
              <w:spacing w:after="0"/>
            </w:pPr>
            <w:r>
              <w:rPr>
                <w:sz w:val="19"/>
              </w:rPr>
              <w:t>Плитка-знакомство с казино: игры ближе к спортивным интересам (live-шоу, быстрые игры)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sz w:val="19"/>
              </w:rPr>
              <w:t>+2 дня</w:t>
            </w:r>
          </w:p>
        </w:tc>
        <w:tc>
          <w:tcPr>
            <w:tcW w:type="dxa" w:w="1258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5933"/>
          </w:tcPr>
          <w:p>
            <w:pPr>
              <w:spacing w:after="0"/>
            </w:pPr>
            <w:r>
              <w:rPr>
                <w:sz w:val="19"/>
              </w:rPr>
              <w:t>"Впервые в казино?" Как всё устроено, демо-игры, как поставить лимиты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sz w:val="19"/>
              </w:rPr>
              <w:t>+5 дней</w:t>
            </w:r>
          </w:p>
        </w:tc>
        <w:tc>
          <w:tcPr>
            <w:tcW w:type="dxa" w:w="1258"/>
          </w:tcPr>
          <w:p>
            <w:pPr>
              <w:spacing w:after="0"/>
            </w:pPr>
            <w:r>
              <w:rPr>
                <w:sz w:val="19"/>
              </w:rPr>
              <w:t>Push</w:t>
            </w:r>
          </w:p>
        </w:tc>
        <w:tc>
          <w:tcPr>
            <w:tcW w:type="dxa" w:w="5933"/>
          </w:tcPr>
          <w:p>
            <w:pPr>
              <w:spacing w:after="0"/>
            </w:pPr>
            <w:r>
              <w:rPr>
                <w:sz w:val="19"/>
              </w:rPr>
              <w:t>Фриспины в казино, отдельно от любых спортивных предложений, с простыми условиями</w:t>
            </w:r>
          </w:p>
        </w:tc>
      </w:tr>
      <w:tr>
        <w:tc>
          <w:tcPr>
            <w:tcW w:type="dxa" w:w="2220"/>
          </w:tcPr>
          <w:p>
            <w:pPr>
              <w:spacing w:after="0"/>
            </w:pPr>
            <w:r>
              <w:rPr>
                <w:sz w:val="19"/>
              </w:rPr>
              <w:t>День 14</w:t>
            </w:r>
          </w:p>
        </w:tc>
        <w:tc>
          <w:tcPr>
            <w:tcW w:type="dxa" w:w="1258"/>
          </w:tcPr>
          <w:p>
            <w:pPr>
              <w:spacing w:after="0"/>
            </w:pPr>
          </w:p>
        </w:tc>
        <w:tc>
          <w:tcPr>
            <w:tcW w:type="dxa" w:w="5933"/>
          </w:tcPr>
          <w:p>
            <w:pPr>
              <w:spacing w:after="0"/>
            </w:pPr>
            <w:r>
              <w:rPr>
                <w:sz w:val="19"/>
              </w:rPr>
              <w:t>Выход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Исключения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Те, кто уже играет в казино.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Те, кто отказался от маркетинга казино; юрисдикции, где казино нет.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Флаги бонус-абьюза.</w:t>
      </w:r>
    </w:p>
    <w:p>
      <w:pPr>
        <w:pStyle w:val="Heading2"/>
      </w:pPr>
      <w:r/>
      <w:r>
        <w:rPr/>
        <w:t>Как я бы измерял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Основной KPI:</w:t>
      </w:r>
      <w:r>
        <w:rPr/>
        <w:t xml:space="preserve"> первая ставка в казино в течение 14 дней.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Метрика для решения:</w:t>
      </w:r>
      <w:r>
        <w:rPr/>
        <w:t xml:space="preserve"> </w:t>
      </w:r>
      <w:r>
        <w:rPr>
          <w:b/>
        </w:rPr>
        <w:t>общий</w:t>
      </w:r>
      <w:r>
        <w:rPr/>
        <w:t xml:space="preserve"> NGR на игрока (спорт + казино) за 60 дней, тестовая группа против контрольной. Если NGR казино вырос, а NGR спорта упал на ту же сумму, кампания ничего не создала.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Холдаут:</w:t>
      </w:r>
      <w:r>
        <w:rPr/>
        <w:t xml:space="preserve"> 20%. Базовая конверсия низкая, поэтому нужна контрольная группа побольше.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