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Онбординг: регистрация -&gt; первый депозит</w:t>
      </w:r>
    </w:p>
    <w:p>
      <w:pPr>
        <w:pStyle w:val="Heading2"/>
      </w:pPr>
      <w:r/>
      <w:r>
        <w:rPr/>
        <w:t>Проблема</w:t>
      </w:r>
    </w:p>
    <w:p>
      <w:r>
        <w:rPr/>
        <w:t>Большинство зарегистрировавшихся так и не делают депозит. Всё решают первые дни: интерес выше всего сразу после регистрации и быстро гаснет. Часто проблема в том, что верификация затягивается или не проходит платёж.</w:t>
      </w:r>
    </w:p>
    <w:p>
      <w:pPr>
        <w:pStyle w:val="Heading2"/>
      </w:pPr>
      <w:r/>
      <w:r>
        <w:rPr/>
        <w:t>Аудитория и исключения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Вход:</w:t>
      </w:r>
      <w:r>
        <w:rPr/>
        <w:t xml:space="preserve"> событие </w:t>
      </w:r>
      <w:r>
        <w:rPr>
          <w:rFonts w:ascii="Consolas" w:hAnsi="Consolas"/>
          <w:color w:val="552B00"/>
          <w:sz w:val="19"/>
        </w:rPr>
        <w:t>signup</w:t>
      </w:r>
      <w:r>
        <w:rPr/>
        <w:t>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Выход:</w:t>
      </w:r>
      <w:r>
        <w:rPr/>
        <w:t xml:space="preserve"> первый депозит, самоисключение, 7-й день.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Исключены из промо-шагов:</w:t>
      </w:r>
      <w:r>
        <w:rPr/>
        <w:t xml:space="preserve"> нет согласия на канал; не подтверждены личность или возраст там, где рынок требует этого до начала игры.</w:t>
      </w:r>
    </w:p>
    <w:p>
      <w:pPr>
        <w:pStyle w:val="Heading2"/>
      </w:pPr>
      <w:r/>
      <w:r>
        <w:rPr/>
        <w:t>Сценарий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4"/>
        <w:gridCol w:w="1204"/>
        <w:gridCol w:w="4638"/>
        <w:gridCol w:w="2365"/>
      </w:tblGrid>
      <w:tr>
        <w:tc>
          <w:tcPr>
            <w:tcW w:type="dxa" w:w="120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120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Канал</w:t>
            </w:r>
          </w:p>
        </w:tc>
        <w:tc>
          <w:tcPr>
            <w:tcW w:type="dxa" w:w="463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Сообщение</w:t>
            </w:r>
          </w:p>
        </w:tc>
        <w:tc>
          <w:tcPr>
            <w:tcW w:type="dxa" w:w="236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Условие</w:t>
            </w:r>
          </w:p>
        </w:tc>
      </w:tr>
      <w:tr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0 мин</w:t>
            </w:r>
          </w:p>
        </w:tc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4638"/>
          </w:tcPr>
          <w:p>
            <w:pPr>
              <w:spacing w:after="0"/>
            </w:pPr>
            <w:r>
              <w:rPr>
                <w:sz w:val="19"/>
              </w:rPr>
              <w:t>Приветствие: что дальше (верификация -&gt; знакомство -&gt; депозит)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sz w:val="19"/>
              </w:rPr>
              <w:t>все</w:t>
            </w:r>
          </w:p>
        </w:tc>
      </w:tr>
      <w:tr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+10 мин</w:t>
            </w:r>
          </w:p>
        </w:tc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In-app</w:t>
            </w:r>
          </w:p>
        </w:tc>
        <w:tc>
          <w:tcPr>
            <w:tcW w:type="dxa" w:w="4638"/>
          </w:tcPr>
          <w:p>
            <w:pPr>
              <w:spacing w:after="0"/>
            </w:pPr>
            <w:r>
              <w:rPr>
                <w:sz w:val="19"/>
              </w:rPr>
              <w:t>Заполните профиль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sz w:val="19"/>
              </w:rPr>
              <w:t>профиль не заполнен</w:t>
            </w:r>
          </w:p>
        </w:tc>
      </w:tr>
      <w:tr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+2 ч</w:t>
            </w:r>
          </w:p>
        </w:tc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4638"/>
          </w:tcPr>
          <w:p>
            <w:pPr>
              <w:spacing w:after="0"/>
            </w:pPr>
            <w:r>
              <w:rPr>
                <w:sz w:val="19"/>
              </w:rPr>
              <w:t>Верификация за 5 минут: как пройти, какие документы подходят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sz w:val="19"/>
              </w:rPr>
              <w:t>не верифицирован</w:t>
            </w:r>
          </w:p>
        </w:tc>
      </w:tr>
      <w:tr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+24 ч</w:t>
            </w:r>
          </w:p>
        </w:tc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Email / push</w:t>
            </w:r>
          </w:p>
        </w:tc>
        <w:tc>
          <w:tcPr>
            <w:tcW w:type="dxa" w:w="4638"/>
          </w:tcPr>
          <w:p>
            <w:pPr>
              <w:spacing w:after="0"/>
            </w:pPr>
            <w:r>
              <w:rPr>
                <w:sz w:val="19"/>
              </w:rPr>
              <w:t>Напоминание о верификации со ссылкой на поддержку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sz w:val="19"/>
              </w:rPr>
              <w:t>всё ещё на проверке</w:t>
            </w:r>
          </w:p>
        </w:tc>
      </w:tr>
      <w:tr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День 1</w:t>
            </w:r>
          </w:p>
        </w:tc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Email + in-app</w:t>
            </w:r>
          </w:p>
        </w:tc>
        <w:tc>
          <w:tcPr>
            <w:tcW w:type="dxa" w:w="4638"/>
          </w:tcPr>
          <w:p>
            <w:pPr>
              <w:spacing w:after="0"/>
            </w:pPr>
            <w:r>
              <w:rPr>
                <w:sz w:val="19"/>
              </w:rPr>
              <w:t>Игры или рынки, популярные в его стране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sz w:val="19"/>
              </w:rPr>
              <w:t>верифицирован</w:t>
            </w:r>
          </w:p>
        </w:tc>
      </w:tr>
      <w:tr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День 2</w:t>
            </w:r>
          </w:p>
        </w:tc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In-app</w:t>
            </w:r>
          </w:p>
        </w:tc>
        <w:tc>
          <w:tcPr>
            <w:tcW w:type="dxa" w:w="4638"/>
          </w:tcPr>
          <w:p>
            <w:pPr>
              <w:spacing w:after="0"/>
            </w:pPr>
            <w:r>
              <w:rPr>
                <w:sz w:val="19"/>
              </w:rPr>
              <w:t>Попробуйте демо-игру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sz w:val="19"/>
              </w:rPr>
              <w:t>верифицирован, интерес к казино</w:t>
            </w:r>
          </w:p>
        </w:tc>
      </w:tr>
      <w:tr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День 3</w:t>
            </w:r>
          </w:p>
        </w:tc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Email</w:t>
            </w:r>
          </w:p>
        </w:tc>
        <w:tc>
          <w:tcPr>
            <w:tcW w:type="dxa" w:w="4638"/>
          </w:tcPr>
          <w:p>
            <w:pPr>
              <w:spacing w:after="0"/>
            </w:pPr>
            <w:r>
              <w:rPr>
                <w:sz w:val="19"/>
              </w:rPr>
              <w:t>Приветственный оффер с ключевыми условиями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sz w:val="19"/>
              </w:rPr>
              <w:t>согласие на этот продукт</w:t>
            </w:r>
          </w:p>
        </w:tc>
      </w:tr>
      <w:tr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День 5</w:t>
            </w:r>
          </w:p>
        </w:tc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SMS</w:t>
            </w:r>
          </w:p>
        </w:tc>
        <w:tc>
          <w:tcPr>
            <w:tcW w:type="dxa" w:w="4638"/>
          </w:tcPr>
          <w:p>
            <w:pPr>
              <w:spacing w:after="0"/>
            </w:pPr>
            <w:r>
              <w:rPr>
                <w:sz w:val="19"/>
              </w:rPr>
              <w:t>Спокойное напоминание о приветственном оффере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sz w:val="19"/>
              </w:rPr>
              <w:t>согласие на SMS, депозита ещё нет</w:t>
            </w:r>
          </w:p>
        </w:tc>
      </w:tr>
      <w:tr>
        <w:tc>
          <w:tcPr>
            <w:tcW w:type="dxa" w:w="1204"/>
          </w:tcPr>
          <w:p>
            <w:pPr>
              <w:spacing w:after="0"/>
            </w:pPr>
            <w:r>
              <w:rPr>
                <w:sz w:val="19"/>
              </w:rPr>
              <w:t>День 7</w:t>
            </w:r>
          </w:p>
        </w:tc>
        <w:tc>
          <w:tcPr>
            <w:tcW w:type="dxa" w:w="1204"/>
          </w:tcPr>
          <w:p>
            <w:pPr>
              <w:spacing w:after="0"/>
            </w:pPr>
          </w:p>
        </w:tc>
        <w:tc>
          <w:tcPr>
            <w:tcW w:type="dxa" w:w="4638"/>
          </w:tcPr>
          <w:p>
            <w:pPr>
              <w:spacing w:after="0"/>
            </w:pPr>
            <w:r>
              <w:rPr>
                <w:sz w:val="19"/>
              </w:rPr>
              <w:t>Выход -&gt; редкие контентные рассылки (</w:t>
            </w:r>
            <w:r>
              <w:rPr>
                <w:i/>
                <w:sz w:val="19"/>
              </w:rPr>
              <w:t>Sleepers</w:t>
            </w:r>
            <w:r>
              <w:rPr>
                <w:sz w:val="19"/>
              </w:rPr>
              <w:t>)</w:t>
            </w:r>
          </w:p>
        </w:tc>
        <w:tc>
          <w:tcPr>
            <w:tcW w:type="dxa" w:w="2365"/>
          </w:tcPr>
          <w:p>
            <w:pPr>
              <w:spacing w:after="0"/>
            </w:pPr>
            <w:r>
              <w:rPr>
                <w:sz w:val="19"/>
              </w:rPr>
              <w:t>депозита нет</w:t>
            </w:r>
          </w:p>
        </w:tc>
      </w:tr>
    </w:tbl>
    <w:p>
      <w:pPr>
        <w:spacing w:after="40"/>
      </w:pPr>
    </w:p>
    <w:p>
      <w:r>
        <w:rPr/>
        <w:t>Неудачный депозит на любом шаге -&gt; выход в сценарий "возврат после неудачного депозита".</w:t>
      </w:r>
    </w:p>
    <w:p>
      <w:pPr>
        <w:pStyle w:val="Heading2"/>
      </w:pPr>
      <w:r/>
      <w:r>
        <w:rPr/>
        <w:t>Правила офферов</w:t>
      </w:r>
    </w:p>
    <w:p>
      <w:r>
        <w:rPr/>
        <w:t>Бонус на депозит или фрибет с разумным отыгрышем, один продукт на оффер. Никакого увеличенного оффера тем, кто ещё не внёс депозит: крупный бонус в основном привлекает тех, кто пришёл ради бонуса.</w:t>
      </w:r>
    </w:p>
    <w:p>
      <w:pPr>
        <w:pStyle w:val="Heading2"/>
      </w:pPr>
      <w:r/>
      <w:r>
        <w:rPr/>
        <w:t>KPI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Главный:</w:t>
      </w:r>
      <w:r>
        <w:rPr/>
        <w:t xml:space="preserve"> первый депозит в течение 7 дней после регистрации.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Дополнительные:</w:t>
      </w:r>
      <w:r>
        <w:rPr/>
        <w:t xml:space="preserve"> доля верифицированных, время до первого депозита, второй депозит в течение 7 дней после первого (качество нового депозитора).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Ограничители:</w:t>
      </w:r>
      <w:r>
        <w:rPr/>
        <w:t xml:space="preserve"> отписки, доля новых депозиторов, которых позже отметили как бонус-абьюзеров.</w:t>
      </w:r>
    </w:p>
    <w:p>
      <w:pPr>
        <w:pStyle w:val="Heading2"/>
      </w:pPr>
      <w:r/>
      <w:r>
        <w:rPr/>
        <w:t>Измерение</w:t>
      </w:r>
    </w:p>
    <w:p>
      <w:r>
        <w:rPr/>
        <w:t>Сообщения о верификации и транзакционные уходят всем. На промо-шагах холдаут 5-10%. Результаты смотрю по каналам привлечения, потому что микс каналов сдвигает общую цифру.</w:t>
      </w:r>
    </w:p>
    <w:p>
      <w:pPr>
        <w:pStyle w:val="Heading2"/>
      </w:pPr>
      <w:r/>
      <w:r>
        <w:rPr/>
        <w:t>Почему так устроено</w:t>
      </w:r>
    </w:p>
    <w:p>
      <w:r>
        <w:rPr/>
        <w:t>Сначала верификация, потому что игроку, который пока не может внести депозит, ничего не продашь.</w:t>
      </w:r>
    </w:p>
    <w:p>
      <w:r>
        <w:rPr/>
        <w:t>Продукт раньше бонуса, потому что игрок, который нашёл понравившуюся игру, охотнее вносит депозиты, чем тот, кто пришёл за €100 бесплатно.</w:t>
      </w:r>
    </w:p>
    <w:p>
      <w:r>
        <w:rPr/>
        <w:t>Каналы по нарастающей, потому что сначала работу должны сделать дешёвые каналы, а уже потом дорогие.</w:t>
      </w:r>
    </w:p>
    <w:p>
      <w:r>
        <w:br w:type="page"/>
      </w:r>
    </w:p>
    <w:p>
      <w:pPr>
        <w:pStyle w:val="Heading2"/>
      </w:pPr>
      <w:r>
        <w:t>Приложение: воркфлоу в Customer.io</w:t>
      </w:r>
    </w:p>
    <w:p>
      <w:r>
        <w:drawing>
          <wp:inline xmlns:a="http://schemas.openxmlformats.org/drawingml/2006/main" xmlns:pic="http://schemas.openxmlformats.org/drawingml/2006/picture">
            <wp:extent cx="4949557" cy="83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nboarding-to-ft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9557" cy="835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