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/>
        <w:t>Возврат после неудачного депозита</w:t>
      </w:r>
    </w:p>
    <w:p>
      <w:pPr>
        <w:spacing w:before="80" w:after="160"/>
        <w:ind w:left="227"/>
        <w:pBdr>
          <w:left w:val="single" w:sz="18" w:space="8" w:color="1F3A5F"/>
        </w:pBdr>
        <w:shd w:val="clear" w:color="auto" w:fill="F1F4F8"/>
      </w:pPr>
      <w:r>
        <w:rPr/>
      </w:r>
      <w:r>
        <w:rPr>
          <w:b/>
        </w:rPr>
        <w:t>Кратко:</w:t>
      </w:r>
      <w:r>
        <w:rPr/>
        <w:t xml:space="preserve"> игрок уже решил заплатить, но платёж не прошёл. Его не нужно уговаривать, ему нужно помочь: объяснить причину, предложить другой способ оплаты, подключить поддержку. Никаких бонусов, а при некоторых причинах отказа никаких сообщений вообще. Цель - успешный депозит за 24 часа.</w:t>
      </w:r>
    </w:p>
    <w:p>
      <w:pPr>
        <w:pStyle w:val="Heading2"/>
      </w:pPr>
      <w:r/>
      <w:r>
        <w:rPr/>
        <w:t>Задача</w:t>
      </w:r>
    </w:p>
    <w:p>
      <w:r>
        <w:rPr/>
        <w:t>Неудачный депозит - самый дорогой момент воронки: намерение уже есть, а деньги не дошли. Многие, у кого не прошла первая попытка, больше не пробуют. Особенно это бьёт по первому депозиту, где игрок ещё не привязан к продукту.</w:t>
      </w:r>
    </w:p>
    <w:p>
      <w:r>
        <w:rPr/>
      </w:r>
      <w:r>
        <w:rPr>
          <w:b/>
        </w:rPr>
        <w:t>Гипотеза:</w:t>
      </w:r>
      <w:r>
        <w:rPr/>
        <w:t xml:space="preserve"> понятное объяснение причины и альтернативный способ оплаты в первые часы после отказа поднимают долю успешных депозитов без какого-либо стимула.</w:t>
      </w:r>
    </w:p>
    <w:p>
      <w:pPr>
        <w:pStyle w:val="Heading2"/>
      </w:pPr>
      <w:r/>
      <w:r>
        <w:rPr/>
        <w:t>Паспорт кампании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3"/>
        <w:gridCol w:w="7868"/>
      </w:tblGrid>
      <w:tr>
        <w:tc>
          <w:tcPr>
            <w:tcW w:type="dxa" w:w="1543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7868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1543"/>
          </w:tcPr>
          <w:p>
            <w:pPr>
              <w:spacing w:after="0"/>
            </w:pPr>
            <w:r>
              <w:rPr>
                <w:sz w:val="19"/>
              </w:rPr>
              <w:t>Тип</w:t>
            </w:r>
          </w:p>
        </w:tc>
        <w:tc>
          <w:tcPr>
            <w:tcW w:type="dxa" w:w="7868"/>
          </w:tcPr>
          <w:p>
            <w:pPr>
              <w:spacing w:after="0"/>
            </w:pPr>
            <w:r>
              <w:rPr>
                <w:sz w:val="19"/>
              </w:rPr>
              <w:t>триггерная, по событию</w:t>
            </w:r>
          </w:p>
        </w:tc>
      </w:tr>
      <w:tr>
        <w:tc>
          <w:tcPr>
            <w:tcW w:type="dxa" w:w="1543"/>
          </w:tcPr>
          <w:p>
            <w:pPr>
              <w:spacing w:after="0"/>
            </w:pPr>
            <w:r>
              <w:rPr>
                <w:sz w:val="19"/>
              </w:rPr>
              <w:t>Триггер</w:t>
            </w:r>
          </w:p>
        </w:tc>
        <w:tc>
          <w:tcPr>
            <w:tcW w:type="dxa" w:w="7868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deposit_failed</w:t>
            </w:r>
            <w:r>
              <w:rPr>
                <w:sz w:val="19"/>
              </w:rPr>
              <w:t xml:space="preserve"> и нет успешного депозита в течение 30 минут</w:t>
            </w:r>
          </w:p>
        </w:tc>
      </w:tr>
      <w:tr>
        <w:tc>
          <w:tcPr>
            <w:tcW w:type="dxa" w:w="1543"/>
          </w:tcPr>
          <w:p>
            <w:pPr>
              <w:spacing w:after="0"/>
            </w:pPr>
            <w:r>
              <w:rPr>
                <w:sz w:val="19"/>
              </w:rPr>
              <w:t>Повторный вход</w:t>
            </w:r>
          </w:p>
        </w:tc>
        <w:tc>
          <w:tcPr>
            <w:tcW w:type="dxa" w:w="7868"/>
          </w:tcPr>
          <w:p>
            <w:pPr>
              <w:spacing w:after="0"/>
            </w:pPr>
            <w:r>
              <w:rPr>
                <w:sz w:val="19"/>
              </w:rPr>
              <w:t>да, но не чаще раза в 24 ч; после 3 неудач за 24 ч - без сообщений, проверка RG/Risk</w:t>
            </w:r>
          </w:p>
        </w:tc>
      </w:tr>
      <w:tr>
        <w:tc>
          <w:tcPr>
            <w:tcW w:type="dxa" w:w="1543"/>
          </w:tcPr>
          <w:p>
            <w:pPr>
              <w:spacing w:after="0"/>
            </w:pPr>
            <w:r>
              <w:rPr>
                <w:sz w:val="19"/>
              </w:rPr>
              <w:t>Цель (конверсия)</w:t>
            </w:r>
          </w:p>
        </w:tc>
        <w:tc>
          <w:tcPr>
            <w:tcW w:type="dxa" w:w="7868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deposit_made</w:t>
            </w:r>
            <w:r>
              <w:rPr>
                <w:sz w:val="19"/>
              </w:rPr>
              <w:t xml:space="preserve"> в течение 24 ч</w:t>
            </w:r>
          </w:p>
        </w:tc>
      </w:tr>
      <w:tr>
        <w:tc>
          <w:tcPr>
            <w:tcW w:type="dxa" w:w="1543"/>
          </w:tcPr>
          <w:p>
            <w:pPr>
              <w:spacing w:after="0"/>
            </w:pPr>
            <w:r>
              <w:rPr>
                <w:sz w:val="19"/>
              </w:rPr>
              <w:t>Выход</w:t>
            </w:r>
          </w:p>
        </w:tc>
        <w:tc>
          <w:tcPr>
            <w:tcW w:type="dxa" w:w="7868"/>
          </w:tcPr>
          <w:p>
            <w:pPr>
              <w:spacing w:after="0"/>
            </w:pPr>
            <w:r>
              <w:rPr>
                <w:sz w:val="19"/>
              </w:rPr>
              <w:t>успешный депозит, самоисключение или тайм-аут, 72 часа</w:t>
            </w:r>
          </w:p>
        </w:tc>
      </w:tr>
      <w:tr>
        <w:tc>
          <w:tcPr>
            <w:tcW w:type="dxa" w:w="1543"/>
          </w:tcPr>
          <w:p>
            <w:pPr>
              <w:spacing w:after="0"/>
            </w:pPr>
            <w:r>
              <w:rPr>
                <w:sz w:val="19"/>
              </w:rPr>
              <w:t>Приоритет</w:t>
            </w:r>
          </w:p>
        </w:tc>
        <w:tc>
          <w:tcPr>
            <w:tcW w:type="dxa" w:w="7868"/>
          </w:tcPr>
          <w:p>
            <w:pPr>
              <w:spacing w:after="0"/>
            </w:pPr>
            <w:r>
              <w:rPr>
                <w:sz w:val="19"/>
              </w:rPr>
              <w:t>сразу после сервисных и комплаенс-сообщений, выше всех промо. Пока игрок здесь, промо-шаги других кампаний на паузе 24 ч</w:t>
            </w:r>
          </w:p>
        </w:tc>
      </w:tr>
      <w:tr>
        <w:tc>
          <w:tcPr>
            <w:tcW w:type="dxa" w:w="1543"/>
          </w:tcPr>
          <w:p>
            <w:pPr>
              <w:spacing w:after="0"/>
            </w:pPr>
            <w:r>
              <w:rPr>
                <w:sz w:val="19"/>
              </w:rPr>
              <w:t>Каналы</w:t>
            </w:r>
          </w:p>
        </w:tc>
        <w:tc>
          <w:tcPr>
            <w:tcW w:type="dxa" w:w="7868"/>
          </w:tcPr>
          <w:p>
            <w:pPr>
              <w:spacing w:after="0"/>
            </w:pPr>
            <w:r>
              <w:rPr>
                <w:sz w:val="19"/>
              </w:rPr>
              <w:t>in-app или push, email, приглашение в чат поддержки</w:t>
            </w:r>
          </w:p>
        </w:tc>
      </w:tr>
      <w:tr>
        <w:tc>
          <w:tcPr>
            <w:tcW w:type="dxa" w:w="1543"/>
          </w:tcPr>
          <w:p>
            <w:pPr>
              <w:spacing w:after="0"/>
            </w:pPr>
            <w:r>
              <w:rPr>
                <w:sz w:val="19"/>
              </w:rPr>
              <w:t>Холдаут</w:t>
            </w:r>
          </w:p>
        </w:tc>
        <w:tc>
          <w:tcPr>
            <w:tcW w:type="dxa" w:w="7868"/>
          </w:tcPr>
          <w:p>
            <w:pPr>
              <w:spacing w:after="0"/>
            </w:pPr>
            <w:r>
              <w:rPr>
                <w:sz w:val="19"/>
              </w:rPr>
              <w:t>10% только на CRM-сообщения; собственный повтор в кассе остаётся у всех</w:t>
            </w:r>
          </w:p>
        </w:tc>
      </w:tr>
      <w:tr>
        <w:tc>
          <w:tcPr>
            <w:tcW w:type="dxa" w:w="1543"/>
          </w:tcPr>
          <w:p>
            <w:pPr>
              <w:spacing w:after="0"/>
            </w:pPr>
            <w:r>
              <w:rPr>
                <w:sz w:val="19"/>
              </w:rPr>
              <w:t>Владельцы</w:t>
            </w:r>
          </w:p>
        </w:tc>
        <w:tc>
          <w:tcPr>
            <w:tcW w:type="dxa" w:w="7868"/>
          </w:tcPr>
          <w:p>
            <w:pPr>
              <w:spacing w:after="0"/>
            </w:pPr>
            <w:r>
              <w:rPr>
                <w:sz w:val="19"/>
              </w:rPr>
              <w:t>CRM (сообщения), платежи (доля отказов, способы оплаты), поддержка (чат)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/>
        <w:t>Что делаем по причине отказа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6"/>
        <w:gridCol w:w="4905"/>
      </w:tblGrid>
      <w:tr>
        <w:tc>
          <w:tcPr>
            <w:tcW w:type="dxa" w:w="4506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Причина</w:t>
            </w:r>
          </w:p>
        </w:tc>
        <w:tc>
          <w:tcPr>
            <w:tcW w:type="dxa" w:w="4905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Что делаем</w:t>
            </w:r>
          </w:p>
        </w:tc>
      </w:tr>
      <w:tr>
        <w:tc>
          <w:tcPr>
            <w:tcW w:type="dxa" w:w="4506"/>
          </w:tcPr>
          <w:p>
            <w:pPr>
              <w:spacing w:after="0"/>
            </w:pPr>
            <w:r>
              <w:rPr>
                <w:sz w:val="19"/>
              </w:rPr>
              <w:t>Техническая ошибка, таймаут, сбой у провайдера</w:t>
            </w:r>
          </w:p>
        </w:tc>
        <w:tc>
          <w:tcPr>
            <w:tcW w:type="dxa" w:w="4905"/>
          </w:tcPr>
          <w:p>
            <w:pPr>
              <w:spacing w:after="0"/>
            </w:pPr>
            <w:r>
              <w:rPr>
                <w:sz w:val="19"/>
              </w:rPr>
              <w:t>сценарий повтора: "попробуйте ещё раз", ссылка в кассу</w:t>
            </w:r>
          </w:p>
        </w:tc>
      </w:tr>
      <w:tr>
        <w:tc>
          <w:tcPr>
            <w:tcW w:type="dxa" w:w="4506"/>
          </w:tcPr>
          <w:p>
            <w:pPr>
              <w:spacing w:after="0"/>
            </w:pPr>
            <w:r>
              <w:rPr>
                <w:sz w:val="19"/>
              </w:rPr>
              <w:t>3-D Secure не пройден или прерван</w:t>
            </w:r>
          </w:p>
        </w:tc>
        <w:tc>
          <w:tcPr>
            <w:tcW w:type="dxa" w:w="4905"/>
          </w:tcPr>
          <w:p>
            <w:pPr>
              <w:spacing w:after="0"/>
            </w:pPr>
            <w:r>
              <w:rPr>
                <w:sz w:val="19"/>
              </w:rPr>
              <w:t>короткая инструкция по подтверждению платежа в банковском приложении, повтор</w:t>
            </w:r>
          </w:p>
        </w:tc>
      </w:tr>
      <w:tr>
        <w:tc>
          <w:tcPr>
            <w:tcW w:type="dxa" w:w="4506"/>
          </w:tcPr>
          <w:p>
            <w:pPr>
              <w:spacing w:after="0"/>
            </w:pPr>
            <w:r>
              <w:rPr>
                <w:sz w:val="19"/>
              </w:rPr>
              <w:t>Банк отклонил без пояснения</w:t>
            </w:r>
          </w:p>
        </w:tc>
        <w:tc>
          <w:tcPr>
            <w:tcW w:type="dxa" w:w="4905"/>
          </w:tcPr>
          <w:p>
            <w:pPr>
              <w:spacing w:after="0"/>
            </w:pPr>
            <w:r>
              <w:rPr>
                <w:sz w:val="19"/>
              </w:rPr>
              <w:t>другие способы оплаты, доступные в стране игрока</w:t>
            </w:r>
          </w:p>
        </w:tc>
      </w:tr>
      <w:tr>
        <w:tc>
          <w:tcPr>
            <w:tcW w:type="dxa" w:w="4506"/>
          </w:tcPr>
          <w:p>
            <w:pPr>
              <w:spacing w:after="0"/>
            </w:pPr>
            <w:r>
              <w:rPr>
                <w:sz w:val="19"/>
              </w:rPr>
              <w:t>Способ не поддерживается, превышен лимит способа</w:t>
            </w:r>
          </w:p>
        </w:tc>
        <w:tc>
          <w:tcPr>
            <w:tcW w:type="dxa" w:w="4905"/>
          </w:tcPr>
          <w:p>
            <w:pPr>
              <w:spacing w:after="0"/>
            </w:pPr>
            <w:r>
              <w:rPr>
                <w:sz w:val="19"/>
              </w:rPr>
              <w:t>альтернативы и лимиты по каждому способу</w:t>
            </w:r>
          </w:p>
        </w:tc>
      </w:tr>
      <w:tr>
        <w:tc>
          <w:tcPr>
            <w:tcW w:type="dxa" w:w="450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Недостаточно средств</w:t>
            </w:r>
            <w:r>
              <w:rPr>
                <w:sz w:val="19"/>
              </w:rPr>
            </w:r>
          </w:p>
        </w:tc>
        <w:tc>
          <w:tcPr>
            <w:tcW w:type="dxa" w:w="490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никаких сообщений</w:t>
            </w:r>
            <w:r>
              <w:rPr>
                <w:sz w:val="19"/>
              </w:rPr>
            </w:r>
          </w:p>
        </w:tc>
      </w:tr>
      <w:tr>
        <w:tc>
          <w:tcPr>
            <w:tcW w:type="dxa" w:w="450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Банк блокирует азартные платежи</w:t>
            </w:r>
            <w:r>
              <w:rPr>
                <w:sz w:val="19"/>
              </w:rPr>
            </w:r>
          </w:p>
        </w:tc>
        <w:tc>
          <w:tcPr>
            <w:tcW w:type="dxa" w:w="490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никаких сообщений</w:t>
            </w:r>
            <w:r>
              <w:rPr>
                <w:sz w:val="19"/>
              </w:rPr>
              <w:t xml:space="preserve"> и никаких альтернатив</w:t>
            </w:r>
          </w:p>
        </w:tc>
      </w:tr>
      <w:tr>
        <w:tc>
          <w:tcPr>
            <w:tcW w:type="dxa" w:w="450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Сработал лимит депозита, который игрок поставил сам</w:t>
            </w:r>
            <w:r>
              <w:rPr>
                <w:sz w:val="19"/>
              </w:rPr>
            </w:r>
          </w:p>
        </w:tc>
        <w:tc>
          <w:tcPr>
            <w:tcW w:type="dxa" w:w="490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никаких сообщений</w:t>
            </w:r>
            <w:r>
              <w:rPr>
                <w:sz w:val="19"/>
              </w:rPr>
            </w:r>
          </w:p>
        </w:tc>
      </w:tr>
      <w:tr>
        <w:tc>
          <w:tcPr>
            <w:tcW w:type="dxa" w:w="450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Подозрение на фрод, AML-ограничение</w:t>
            </w:r>
            <w:r>
              <w:rPr>
                <w:sz w:val="19"/>
              </w:rPr>
            </w:r>
          </w:p>
        </w:tc>
        <w:tc>
          <w:tcPr>
            <w:tcW w:type="dxa" w:w="490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никаких сообщений</w:t>
            </w:r>
            <w:r>
              <w:rPr>
                <w:sz w:val="19"/>
              </w:rPr>
              <w:t>, задача Risk</w:t>
            </w:r>
          </w:p>
        </w:tc>
      </w:tr>
    </w:tbl>
    <w:p>
      <w:pPr>
        <w:spacing w:after="40"/>
      </w:pPr>
    </w:p>
    <w:p>
      <w:r>
        <w:rPr/>
        <w:t>Повторные неудачи (3 и больше за 24 часа) вместе с другими маркерами (рост частоты депозитов, ночные сессии) уходят на RG-проверку.</w:t>
      </w:r>
    </w:p>
    <w:p>
      <w:pPr>
        <w:pStyle w:val="Heading2"/>
      </w:pPr>
      <w:r/>
      <w:r>
        <w:rPr/>
        <w:t>Сценарий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5"/>
        <w:gridCol w:w="875"/>
        <w:gridCol w:w="1688"/>
        <w:gridCol w:w="4424"/>
        <w:gridCol w:w="1549"/>
      </w:tblGrid>
      <w:tr>
        <w:tc>
          <w:tcPr>
            <w:tcW w:type="dxa" w:w="875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type="dxa" w:w="875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Когда</w:t>
            </w:r>
          </w:p>
        </w:tc>
        <w:tc>
          <w:tcPr>
            <w:tcW w:type="dxa" w:w="1688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Канал / блок</w:t>
            </w:r>
          </w:p>
        </w:tc>
        <w:tc>
          <w:tcPr>
            <w:tcW w:type="dxa" w:w="4424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Содержание</w:t>
            </w:r>
          </w:p>
        </w:tc>
        <w:tc>
          <w:tcPr>
            <w:tcW w:type="dxa" w:w="1549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Условие отправки</w:t>
            </w:r>
          </w:p>
        </w:tc>
      </w:tr>
      <w:tr>
        <w:tc>
          <w:tcPr>
            <w:tcW w:type="dxa" w:w="875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875"/>
          </w:tcPr>
          <w:p>
            <w:pPr>
              <w:spacing w:after="0"/>
            </w:pPr>
            <w:r>
              <w:rPr>
                <w:sz w:val="19"/>
              </w:rPr>
              <w:t>событие</w:t>
            </w:r>
          </w:p>
        </w:tc>
        <w:tc>
          <w:tcPr>
            <w:tcW w:type="dxa" w:w="1688"/>
          </w:tcPr>
          <w:p>
            <w:pPr>
              <w:spacing w:after="0"/>
            </w:pPr>
            <w:r>
              <w:rPr>
                <w:sz w:val="19"/>
              </w:rPr>
              <w:t>Фильтр</w:t>
            </w:r>
          </w:p>
        </w:tc>
        <w:tc>
          <w:tcPr>
            <w:tcW w:type="dxa" w:w="4424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decline_reason</w:t>
            </w:r>
            <w:r>
              <w:rPr>
                <w:sz w:val="19"/>
              </w:rPr>
              <w:t xml:space="preserve"> из списка "без сообщений" -&gt; выход без контакта</w:t>
            </w:r>
          </w:p>
        </w:tc>
        <w:tc>
          <w:tcPr>
            <w:tcW w:type="dxa" w:w="1549"/>
          </w:tcPr>
          <w:p>
            <w:pPr>
              <w:spacing w:after="0"/>
            </w:pPr>
          </w:p>
        </w:tc>
      </w:tr>
      <w:tr>
        <w:tc>
          <w:tcPr>
            <w:tcW w:type="dxa" w:w="875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75"/>
          </w:tcPr>
          <w:p>
            <w:pPr>
              <w:spacing w:after="0"/>
            </w:pPr>
            <w:r>
              <w:rPr>
                <w:sz w:val="19"/>
              </w:rPr>
              <w:t>+30 мин</w:t>
            </w:r>
          </w:p>
        </w:tc>
        <w:tc>
          <w:tcPr>
            <w:tcW w:type="dxa" w:w="1688"/>
          </w:tcPr>
          <w:p>
            <w:pPr>
              <w:spacing w:after="0"/>
            </w:pPr>
            <w:r>
              <w:rPr>
                <w:sz w:val="19"/>
              </w:rPr>
              <w:t>In-app (если игрок на сайте) или push</w:t>
            </w:r>
          </w:p>
        </w:tc>
        <w:tc>
          <w:tcPr>
            <w:tcW w:type="dxa" w:w="4424"/>
          </w:tcPr>
          <w:p>
            <w:pPr>
              <w:spacing w:after="0"/>
            </w:pPr>
            <w:r>
              <w:rPr>
                <w:sz w:val="19"/>
              </w:rPr>
              <w:t>"Платёж не прошёл": причина простыми словами, повтор в одно касание</w:t>
            </w:r>
          </w:p>
        </w:tc>
        <w:tc>
          <w:tcPr>
            <w:tcW w:type="dxa" w:w="1549"/>
          </w:tcPr>
          <w:p>
            <w:pPr>
              <w:spacing w:after="0"/>
            </w:pPr>
            <w:r>
              <w:rPr>
                <w:sz w:val="19"/>
              </w:rPr>
              <w:t>нет успешного депозита</w:t>
            </w:r>
          </w:p>
        </w:tc>
      </w:tr>
      <w:tr>
        <w:tc>
          <w:tcPr>
            <w:tcW w:type="dxa" w:w="875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75"/>
          </w:tcPr>
          <w:p>
            <w:pPr>
              <w:spacing w:after="0"/>
            </w:pPr>
            <w:r>
              <w:rPr>
                <w:sz w:val="19"/>
              </w:rPr>
              <w:t>+2 ч</w:t>
            </w:r>
          </w:p>
        </w:tc>
        <w:tc>
          <w:tcPr>
            <w:tcW w:type="dxa" w:w="1688"/>
          </w:tcPr>
          <w:p>
            <w:pPr>
              <w:spacing w:after="0"/>
            </w:pPr>
            <w:r>
              <w:rPr>
                <w:sz w:val="19"/>
              </w:rPr>
              <w:t>Email (сервисный)</w:t>
            </w:r>
          </w:p>
        </w:tc>
        <w:tc>
          <w:tcPr>
            <w:tcW w:type="dxa" w:w="4424"/>
          </w:tcPr>
          <w:p>
            <w:pPr>
              <w:spacing w:after="0"/>
            </w:pPr>
            <w:r>
              <w:rPr>
                <w:sz w:val="19"/>
              </w:rPr>
              <w:t>Другие способы оплаты в его стране, их лимиты и сроки зачисления</w:t>
            </w:r>
          </w:p>
        </w:tc>
        <w:tc>
          <w:tcPr>
            <w:tcW w:type="dxa" w:w="1549"/>
          </w:tcPr>
          <w:p>
            <w:pPr>
              <w:spacing w:after="0"/>
            </w:pPr>
            <w:r>
              <w:rPr>
                <w:sz w:val="19"/>
              </w:rPr>
              <w:t>нет депозита</w:t>
            </w:r>
          </w:p>
        </w:tc>
      </w:tr>
      <w:tr>
        <w:tc>
          <w:tcPr>
            <w:tcW w:type="dxa" w:w="875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75"/>
          </w:tcPr>
          <w:p>
            <w:pPr>
              <w:spacing w:after="0"/>
            </w:pPr>
            <w:r>
              <w:rPr>
                <w:sz w:val="19"/>
              </w:rPr>
              <w:t>+24 ч</w:t>
            </w:r>
          </w:p>
        </w:tc>
        <w:tc>
          <w:tcPr>
            <w:tcW w:type="dxa" w:w="1688"/>
          </w:tcPr>
          <w:p>
            <w:pPr>
              <w:spacing w:after="0"/>
            </w:pPr>
            <w:r>
              <w:rPr>
                <w:sz w:val="19"/>
              </w:rPr>
              <w:t>Email или приглашение в чат</w:t>
            </w:r>
          </w:p>
        </w:tc>
        <w:tc>
          <w:tcPr>
            <w:tcW w:type="dxa" w:w="4424"/>
          </w:tcPr>
          <w:p>
            <w:pPr>
              <w:spacing w:after="0"/>
            </w:pPr>
            <w:r>
              <w:rPr>
                <w:sz w:val="19"/>
              </w:rPr>
              <w:t>"Помочь завершить депозит?" с прямым входом в поддержку</w:t>
            </w:r>
          </w:p>
        </w:tc>
        <w:tc>
          <w:tcPr>
            <w:tcW w:type="dxa" w:w="1549"/>
          </w:tcPr>
          <w:p>
            <w:pPr>
              <w:spacing w:after="0"/>
            </w:pPr>
            <w:r>
              <w:rPr>
                <w:sz w:val="19"/>
              </w:rPr>
              <w:t>нет депозита, игрок не писал в поддержку сам</w:t>
            </w:r>
          </w:p>
        </w:tc>
      </w:tr>
      <w:tr>
        <w:tc>
          <w:tcPr>
            <w:tcW w:type="dxa" w:w="875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875"/>
          </w:tcPr>
          <w:p>
            <w:pPr>
              <w:spacing w:after="0"/>
            </w:pPr>
            <w:r>
              <w:rPr>
                <w:sz w:val="19"/>
              </w:rPr>
              <w:t>72 ч</w:t>
            </w:r>
          </w:p>
        </w:tc>
        <w:tc>
          <w:tcPr>
            <w:tcW w:type="dxa" w:w="1688"/>
          </w:tcPr>
          <w:p>
            <w:pPr>
              <w:spacing w:after="0"/>
            </w:pPr>
            <w:r>
              <w:rPr>
                <w:sz w:val="19"/>
              </w:rPr>
              <w:t>Выход</w:t>
            </w:r>
          </w:p>
        </w:tc>
        <w:tc>
          <w:tcPr>
            <w:tcW w:type="dxa" w:w="4424"/>
          </w:tcPr>
          <w:p>
            <w:pPr>
              <w:spacing w:after="0"/>
            </w:pPr>
            <w:r>
              <w:rPr>
                <w:sz w:val="19"/>
              </w:rPr>
              <w:t>Исходная кампания (онбординг, второй депозит) продолжает работу</w:t>
            </w:r>
          </w:p>
        </w:tc>
        <w:tc>
          <w:tcPr>
            <w:tcW w:type="dxa" w:w="1549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r>
        <w:rPr/>
        <w:t>Ни на одном шаге нет бонусов. Сообщения сервисные по смыслу и не содержат промо.</w:t>
      </w:r>
    </w:p>
    <w:p>
      <w:pPr>
        <w:pStyle w:val="Heading2"/>
      </w:pPr>
      <w:r/>
      <w:r>
        <w:rPr/>
        <w:t>Измерение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07"/>
        <w:gridCol w:w="2904"/>
      </w:tblGrid>
      <w:tr>
        <w:tc>
          <w:tcPr>
            <w:tcW w:type="dxa" w:w="6507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Метрика</w:t>
            </w:r>
          </w:p>
        </w:tc>
        <w:tc>
          <w:tcPr>
            <w:tcW w:type="dxa" w:w="2904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Что показывает</w:t>
            </w:r>
          </w:p>
        </w:tc>
      </w:tr>
      <w:tr>
        <w:tc>
          <w:tcPr>
            <w:tcW w:type="dxa" w:w="650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Главная:</w:t>
            </w:r>
            <w:r>
              <w:rPr>
                <w:sz w:val="19"/>
              </w:rPr>
              <w:t xml:space="preserve"> успешный депозит в течение 24 ч после неудачи, тест против контроля</w:t>
            </w:r>
          </w:p>
        </w:tc>
        <w:tc>
          <w:tcPr>
            <w:tcW w:type="dxa" w:w="2904"/>
          </w:tcPr>
          <w:p>
            <w:pPr>
              <w:spacing w:after="0"/>
            </w:pPr>
            <w:r>
              <w:rPr>
                <w:sz w:val="19"/>
              </w:rPr>
              <w:t>работает ли сценарий</w:t>
            </w:r>
          </w:p>
        </w:tc>
      </w:tr>
      <w:tr>
        <w:tc>
          <w:tcPr>
            <w:tcW w:type="dxa" w:w="6507"/>
          </w:tcPr>
          <w:p>
            <w:pPr>
              <w:spacing w:after="0"/>
            </w:pPr>
            <w:r>
              <w:rPr>
                <w:sz w:val="19"/>
              </w:rPr>
              <w:t>Доля первых депозитов среди игроков, у которых первая попытка не прошла</w:t>
            </w:r>
          </w:p>
        </w:tc>
        <w:tc>
          <w:tcPr>
            <w:tcW w:type="dxa" w:w="2904"/>
          </w:tcPr>
          <w:p>
            <w:pPr>
              <w:spacing w:after="0"/>
            </w:pPr>
            <w:r>
              <w:rPr>
                <w:sz w:val="19"/>
              </w:rPr>
              <w:t>вклад в онбординг</w:t>
            </w:r>
          </w:p>
        </w:tc>
      </w:tr>
      <w:tr>
        <w:tc>
          <w:tcPr>
            <w:tcW w:type="dxa" w:w="6507"/>
          </w:tcPr>
          <w:p>
            <w:pPr>
              <w:spacing w:after="0"/>
            </w:pPr>
            <w:r>
              <w:rPr>
                <w:sz w:val="19"/>
              </w:rPr>
              <w:t>Обращения в поддержку на одну неудачу</w:t>
            </w:r>
          </w:p>
        </w:tc>
        <w:tc>
          <w:tcPr>
            <w:tcW w:type="dxa" w:w="2904"/>
          </w:tcPr>
          <w:p>
            <w:pPr>
              <w:spacing w:after="0"/>
            </w:pPr>
            <w:r>
              <w:rPr>
                <w:sz w:val="19"/>
              </w:rPr>
              <w:t>помогают ли сообщения или создают нагрузку</w:t>
            </w:r>
          </w:p>
        </w:tc>
      </w:tr>
      <w:tr>
        <w:tc>
          <w:tcPr>
            <w:tcW w:type="dxa" w:w="6507"/>
          </w:tcPr>
          <w:p>
            <w:pPr>
              <w:spacing w:after="0"/>
            </w:pPr>
            <w:r>
              <w:rPr>
                <w:sz w:val="19"/>
              </w:rPr>
              <w:t>Доля отказов по способам оплаты и банкам</w:t>
            </w:r>
          </w:p>
        </w:tc>
        <w:tc>
          <w:tcPr>
            <w:tcW w:type="dxa" w:w="2904"/>
          </w:tcPr>
          <w:p>
            <w:pPr>
              <w:spacing w:after="0"/>
            </w:pPr>
            <w:r>
              <w:rPr>
                <w:sz w:val="19"/>
              </w:rPr>
              <w:t>для команды платежей</w:t>
            </w:r>
          </w:p>
        </w:tc>
      </w:tr>
      <w:tr>
        <w:tc>
          <w:tcPr>
            <w:tcW w:type="dxa" w:w="650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Защитные:</w:t>
            </w:r>
            <w:r>
              <w:rPr>
                <w:sz w:val="19"/>
              </w:rPr>
              <w:t xml:space="preserve"> ноль сообщений после отказов из списка "без сообщений"; изменения RG-риска</w:t>
            </w:r>
          </w:p>
        </w:tc>
        <w:tc>
          <w:tcPr>
            <w:tcW w:type="dxa" w:w="2904"/>
          </w:tcPr>
          <w:p>
            <w:pPr>
              <w:spacing w:after="0"/>
            </w:pPr>
            <w:r>
              <w:rPr>
                <w:sz w:val="19"/>
              </w:rPr>
              <w:t>безопасность</w:t>
            </w:r>
          </w:p>
        </w:tc>
      </w:tr>
    </w:tbl>
    <w:p>
      <w:pPr>
        <w:spacing w:after="40"/>
      </w:pP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Дизайн:</w:t>
      </w:r>
      <w:r>
        <w:rPr/>
        <w:t xml:space="preserve"> холдаут 10% только на CRM-сообщения.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Объёмы обычно небольшие</w:t>
      </w:r>
      <w:r>
        <w:rPr/>
        <w:t>, поэтому результаты смотрю раз в квартал.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Аудит:</w:t>
      </w:r>
      <w:r>
        <w:rPr/>
        <w:t xml:space="preserve"> раз в месяц выборка отправленных сообщений сверяется с </w:t>
      </w:r>
      <w:r>
        <w:rPr>
          <w:rFonts w:ascii="Consolas" w:hAnsi="Consolas"/>
          <w:color w:val="552B00"/>
          <w:sz w:val="19"/>
        </w:rPr>
        <w:t>decline_reason</w:t>
      </w:r>
      <w:r>
        <w:rPr/>
        <w:t>, цель - ноль ошибок.</w:t>
      </w:r>
    </w:p>
    <w:p>
      <w:r>
        <w:br w:type="page"/>
      </w:r>
    </w:p>
    <w:p>
      <w:pPr>
        <w:pStyle w:val="Heading2"/>
      </w:pPr>
      <w:r>
        <w:t>Приложение: воркфлоу в Customer.io</w:t>
      </w:r>
    </w:p>
    <w:p>
      <w:r>
        <w:drawing>
          <wp:inline xmlns:a="http://schemas.openxmlformats.org/drawingml/2006/main" xmlns:pic="http://schemas.openxmlformats.org/drawingml/2006/picture">
            <wp:extent cx="5976000" cy="80161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ailed-deposit-recove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801610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" w:eastAsiaTheme="majorEastAsia" w:hAnsiTheme="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" w:eastAsiaTheme="majorEastAsia" w:hAnsiTheme="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" w:eastAsiaTheme="majorEastAsia" w:hAnsiTheme="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