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C7293"/>
          <w:sz w:val="20"/>
          <w:szCs w:val="20"/>
        </w:rPr>
        <w:t xml:space="preserve">Documentación oficial</w:t>
      </w:r>
    </w:p>
    <w:p>
      <w:pPr>
        <w:spacing w:after="120"/>
      </w:pPr>
      <w:r>
        <w:rPr>
          <w:b/>
          <w:bCs/>
          <w:color w:val="1B2A4A"/>
          <w:sz w:val="44"/>
          <w:szCs w:val="44"/>
        </w:rPr>
        <w:t xml:space="preserve">Clase 4</w:t>
      </w:r>
    </w:p>
    <w:p>
      <w:pPr>
        <w:spacing w:after="300"/>
      </w:pPr>
      <w:r>
        <w:rPr>
          <w:color w:val="5A6B87"/>
          <w:sz w:val="24"/>
          <w:szCs w:val="24"/>
        </w:rPr>
        <w:t xml:space="preserve">Del repositorio local al Space: publicar la aplicación</w:t>
      </w:r>
    </w:p>
    <w:p>
      <w:pPr>
        <w:pBdr>
          <w:bottom w:val="single" w:color="E1E6F0" w:sz="4" w:space="4"/>
        </w:pBdr>
        <w:spacing w:after="400"/>
      </w:pPr>
      <w:r>
        <w:t xml:space="preserve"/>
      </w:r>
    </w:p>
    <w:p>
      <w:pPr>
        <w:spacing w:after="260"/>
      </w:pPr>
      <w:r>
        <w:rPr>
          <w:i/>
          <w:iCs/>
          <w:color w:val="5A6B87"/>
          <w:sz w:val="22"/>
          <w:szCs w:val="22"/>
        </w:rPr>
        <w:t xml:space="preserve">Enlaces verificados (septiembre 2026) para consulta propia y para compartir con los estudiantes en el aula virtual.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Hugging Face Spaces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Spaces — página principal de la documentación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https://huggingface.co/docs/hub/spaces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Qué es un Space, tipos de SDK disponibles, visión general.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Spaces Configuration Reference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https://huggingface.co/docs/hub/spaces-config-reference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Todos los campos del encabezado YAML del README.md (sdk, sdk_version, app_file, license, etc.) — referencia del Bloque 4.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Gradio Spaces (SDK)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https://huggingface.co/docs/hub/spaces-sdks-gradio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Cómo Hugging Face levanta específicamente un Space con SDK Gradio.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Spaces Settings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https://huggingface.co/docs/hub/spaces-settings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Hardware, visibilidad y demás configuraciones desde la interfaz del Space.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Spaces as API endpoints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https://huggingface.co/docs/hub/spaces-api-endpoints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Referencia para el enlace "Use via API" del Bloque 8.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User access tokens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https://huggingface.co/docs/hub/security-tokens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Cómo crear y gestionar tokens de escritura/lectura — referencia del Bloque 5.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Gradio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Quickstart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https://www.gradio.app/guides/quickstart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Primeros pasos con Gradio, instalación y primer ejemplo con Interface.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Interface — referencia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https://www.gradio.app/docs/interface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Documentación completa de gr.Interface (parámetros fn, inputs, outputs, etc.).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Blocks — referencia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https://www.gradio.app/docs/gradio/blocks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Documentación completa de gr.Blocks — la actividad de hoy manda acá.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Blocks and Event Listeners (guía)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https://www.gradio.app/guides/blocks-and-event-listeners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Cómo conectar componentes y eventos (boton.click(...)) en Blocks — referencia del Bloque 11 y de la Actividad.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Git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git-remote — referencia oficial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https://git-scm.com/docs/git-remote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Sintaxis completa de git remote add / rename / -v — referencia de los Bloques 3 y 6.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git-pull — referencia oficial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https://git-scm.com/docs/git-pull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Incluye la opción --allow-unrelated-histories usada en el Bloque 6.</w:t>
      </w:r>
    </w:p>
    <w:p>
      <w:pPr>
        <w:spacing w:after="20" w:before="140"/>
      </w:pPr>
      <w:r>
        <w:rPr>
          <w:b/>
          <w:bCs/>
          <w:color w:val="1B2A4A"/>
          <w:sz w:val="22"/>
          <w:szCs w:val="22"/>
        </w:rPr>
        <w:t xml:space="preserve">git-merge — referencia oficial</w:t>
      </w:r>
    </w:p>
    <w:p>
      <w:pPr>
        <w:spacing w:after="20"/>
      </w:pPr>
      <w:r>
        <w:rPr>
          <w:color w:val="1C7293"/>
          <w:sz w:val="20"/>
          <w:szCs w:val="20"/>
          <w:u w:val="single"/>
        </w:rPr>
        <w:t xml:space="preserve">https://git-scm.com/docs/git-merge</w:t>
      </w:r>
    </w:p>
    <w:p>
      <w:pPr>
        <w:spacing w:after="160"/>
      </w:pPr>
      <w:r>
        <w:rPr>
          <w:color w:val="5A6B87"/>
          <w:sz w:val="20"/>
          <w:szCs w:val="20"/>
        </w:rPr>
        <w:t xml:space="preserve">Cómo git decide (o no) combinar dos historias, y qué son los marcadores de conflicto.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00"/>
    </w:pPr>
    <w:rPr>
      <w:rFonts w:ascii="Calibri" w:cs="Calibri" w:eastAsia="Calibri" w:hAnsi="Calibri"/>
      <w:b/>
      <w:bCs/>
      <w:color w:val="1B2A4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2026-09-04T20:15:39.079Z</dcterms:created>
  <dcterms:modified xsi:type="dcterms:W3CDTF">2026-09-04T20:15:39.080Z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