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numPr>
          <w:ilvl w:val="1"/>
          <w:numId w:val="1"/>
        </w:numPr>
        <w:spacing w:after="12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Аннотированный список учебников по Pascal.</w:t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http://mycpp.ru/delphi/book/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2074862</wp:posOffset>
                  </wp:positionH>
                  <wp:positionV relativeFrom="paragraph">
                    <wp:posOffset>635</wp:posOffset>
                  </wp:positionV>
                  <wp:extent cx="1970405" cy="1672590"/>
                  <wp:effectExtent b="0" l="0" r="0" t="0"/>
                  <wp:wrapSquare wrapText="bothSides" distB="0" distT="0" distL="0" distR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672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Электронный учебник посвящен Turbo Pascal. В книге рассказывается об  основных конструкциях языка.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http://mif.vspu.ru/books/pascal/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2074862</wp:posOffset>
                  </wp:positionH>
                  <wp:positionV relativeFrom="paragraph">
                    <wp:posOffset>635</wp:posOffset>
                  </wp:positionV>
                  <wp:extent cx="1970405" cy="2522220"/>
                  <wp:effectExtent b="0" l="0" r="0" t="0"/>
                  <wp:wrapSquare wrapText="bothSides" distB="0" distT="0" distL="0" distR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2522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электронный учебник содержит краткое изложение всех основных разделов стандартного учебного курса по программированию на Турбо Паскале.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https://de.ifmo.ru/bk_netra/start.php?bn=15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2074862</wp:posOffset>
                  </wp:positionH>
                  <wp:positionV relativeFrom="paragraph">
                    <wp:posOffset>635</wp:posOffset>
                  </wp:positionV>
                  <wp:extent cx="1970405" cy="1135380"/>
                  <wp:effectExtent b="0" l="0" r="0" t="0"/>
                  <wp:wrapSquare wrapText="bothSides" distB="0" distT="0" distL="0" distR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35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книге подробно описывается синтаксис языка Pascal с примерами, также в некоторых главах предусмотрены задания для самостоятельной работы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Ю. Федоренко Алгоритмы и программы на Turbo Pascal. Учебный курс.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2074862</wp:posOffset>
                  </wp:positionH>
                  <wp:positionV relativeFrom="paragraph">
                    <wp:posOffset>635</wp:posOffset>
                  </wp:positionV>
                  <wp:extent cx="1970405" cy="2661285"/>
                  <wp:effectExtent b="0" l="0" r="0" t="0"/>
                  <wp:wrapSquare wrapText="bothSides" distB="0" distT="0" distL="0" distR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2661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Книга предназначена для самостоятельного изучения Turbo Pascal. В ней освещены те разделы языка, которые необходимы для решения большинства инженерных и научных задач.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http://intuit.valrkl.ru/course-1265/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</wp:posOffset>
                  </wp:positionV>
                  <wp:extent cx="1970405" cy="1738630"/>
                  <wp:effectExtent b="0" l="0" r="0" t="0"/>
                  <wp:wrapSquare wrapText="bothSides" distB="0" distT="0" distL="0" distR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738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Электронный учебник по языку программирования Pascal и среде разработки программного обеспечения Lazarus.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ageBreakBefore w:val="0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Среда программирования Lazarus.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Язык программирования Pascal был создан 1968 -1969 гг. профессором Никлаусом </w:t>
        <w:tab/>
        <w:t xml:space="preserve">Виртом. Pascal получил широкое распространение как язык для обучения </w:t>
        <w:tab/>
        <w:t xml:space="preserve">программированию и для решения задач общего назначения.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Предшественниками среды разработки Lazarus были: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Turbo Pascal, выпущенный компанией Borland в 1983 г.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Pascal, разработанный Apple Computer в 1986 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1994 г. была создана Delphi – графическая интегрированная среда быстрой разработки программ.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2000 г. был разработан Free Pascal.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Lazarus начали разрабатывать в 1999 году программисты: Шейн Миллер, Клифф Бейсман, Михаил  А. Хесс. Позднее проект начали улучшать и дорабатывать пользователи.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hanging="56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2.</w:t>
        <w:tab/>
        <w:t xml:space="preserve">Интерфейс состоит из основной панели (на неё вынесены пункты меню и часто используемые инструменты, также палитра компонентов), инспектора свойств компонентов, окна исходного кода, окна формы и окна сообщений.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Для работы в консольном приложении необходимо перейти в меню файл-создать- </w:t>
        <w:tab/>
        <w:t xml:space="preserve">проект-консольное приложение. В окне исходного кода пишется программа на языке </w:t>
        <w:tab/>
        <w:t xml:space="preserve">Pascal.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Отладку можно осуществить, установив точки остановки в окне исходного </w:t>
        <w:tab/>
        <w:t xml:space="preserve">кода и </w:t>
        <w:tab/>
        <w:t xml:space="preserve">запустив программу.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Запуск программы осуществляется клавишей F9, в окне консли вводятся требуемые данные.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ГОСТ на написание блок – схем.</w:t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1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Пуск и останов функции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предназначен для определения начала и конца функции.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1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Ввод/вывод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реализует функцию ввода вывода на различные устройства.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5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Операция присвоения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позволяет использовать операции над данными. В блоке можно использовать несколько операций.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Ветвление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реализует конструкцию ветвления в программе при выполнении определенного условия.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Вызов процедур и функций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Процедуры и функции позволяют раздробить программу на блоки.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1238250"/>
                  <wp:effectExtent b="0" l="0" r="0" t="0"/>
                  <wp:wrapSquare wrapText="bothSides" distB="0" distT="0" distL="0" distR="0"/>
                  <wp:docPr id="1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Цикл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Блоки начала и конца цикла с условием.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666750"/>
                  <wp:effectExtent b="0" l="0" r="0" t="0"/>
                  <wp:wrapSquare wrapText="bothSides" distB="0" distT="0" distL="0" distR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данных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Блок задает условие для детерминированных циклов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2536190</wp:posOffset>
                  </wp:positionH>
                  <wp:positionV relativeFrom="paragraph">
                    <wp:posOffset>635</wp:posOffset>
                  </wp:positionV>
                  <wp:extent cx="1047750" cy="666750"/>
                  <wp:effectExtent b="0" l="0" r="0" t="0"/>
                  <wp:wrapSquare wrapText="bothSides" distB="0" distT="0" distL="0" distR="0"/>
                  <wp:docPr id="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Соединитель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Используется, когда необходимо продолжить схему на другом листе.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2221865</wp:posOffset>
                  </wp:positionH>
                  <wp:positionV relativeFrom="paragraph">
                    <wp:posOffset>635</wp:posOffset>
                  </wp:positionV>
                  <wp:extent cx="1676400" cy="723900"/>
                  <wp:effectExtent b="0" l="0" r="0" t="0"/>
                  <wp:wrapSquare wrapText="bothSides" distB="0" distT="0" distL="0" distR="0"/>
                  <wp:docPr id="14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Позволяет оставить комментарий к программе или её отдельным блокам.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977900</wp:posOffset>
                </wp:positionV>
                <wp:extent cx="867410" cy="1917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7420" y="3689280"/>
                          <a:ext cx="857160" cy="18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977900</wp:posOffset>
                </wp:positionV>
                <wp:extent cx="867410" cy="1917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7410" cy="19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◦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160" w:hanging="360"/>
      </w:pPr>
      <w:rPr/>
    </w:lvl>
    <w:lvl w:ilvl="4">
      <w:start w:val="1"/>
      <w:numFmt w:val="bullet"/>
      <w:lvlText w:val="◦"/>
      <w:lvlJc w:val="left"/>
      <w:pPr>
        <w:ind w:left="2520" w:hanging="360"/>
      </w:pPr>
      <w:rPr/>
    </w:lvl>
    <w:lvl w:ilvl="5">
      <w:start w:val="1"/>
      <w:numFmt w:val="bullet"/>
      <w:lvlText w:val="▪"/>
      <w:lvlJc w:val="left"/>
      <w:pPr>
        <w:ind w:left="2880" w:hanging="360"/>
      </w:pPr>
      <w:rPr/>
    </w:lvl>
    <w:lvl w:ilvl="6">
      <w:start w:val="1"/>
      <w:numFmt w:val="bullet"/>
      <w:lvlText w:val=""/>
      <w:lvlJc w:val="left"/>
      <w:pPr>
        <w:ind w:left="3240" w:hanging="360"/>
      </w:pPr>
      <w:rPr/>
    </w:lvl>
    <w:lvl w:ilvl="7">
      <w:start w:val="1"/>
      <w:numFmt w:val="bullet"/>
      <w:lvlText w:val="◦"/>
      <w:lvlJc w:val="left"/>
      <w:pPr>
        <w:ind w:left="3600" w:hanging="360"/>
      </w:pPr>
      <w:rPr/>
    </w:lvl>
    <w:lvl w:ilvl="8">
      <w:start w:val="1"/>
      <w:numFmt w:val="bullet"/>
      <w:lvlText w:val="▪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jpg"/><Relationship Id="rId10" Type="http://schemas.openxmlformats.org/officeDocument/2006/relationships/image" Target="media/image15.png"/><Relationship Id="rId13" Type="http://schemas.openxmlformats.org/officeDocument/2006/relationships/image" Target="media/image9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7" Type="http://schemas.openxmlformats.org/officeDocument/2006/relationships/image" Target="media/image3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image" Target="media/image14.png"/><Relationship Id="rId18" Type="http://schemas.openxmlformats.org/officeDocument/2006/relationships/image" Target="media/image10.jp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