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0C2" w:rsidRDefault="00FA461B" w:rsidP="00FA461B">
      <w:pPr>
        <w:jc w:val="center"/>
        <w:rPr>
          <w:b/>
        </w:rPr>
      </w:pPr>
      <w:r>
        <w:rPr>
          <w:b/>
        </w:rPr>
        <w:t>Лабораторная работа №2</w:t>
      </w:r>
    </w:p>
    <w:p w:rsidR="00FA461B" w:rsidRDefault="00FA461B" w:rsidP="00FA461B">
      <w:pPr>
        <w:jc w:val="center"/>
        <w:rPr>
          <w:b/>
        </w:rPr>
      </w:pPr>
      <w:r>
        <w:rPr>
          <w:b/>
          <w:noProof/>
        </w:rPr>
        <w:drawing>
          <wp:inline distT="0" distB="0" distL="0" distR="0">
            <wp:extent cx="5940425" cy="39941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ess13.png"/>
                    <pic:cNvPicPr/>
                  </pic:nvPicPr>
                  <pic:blipFill>
                    <a:blip r:embed="rId5">
                      <a:extLst>
                        <a:ext uri="{28A0092B-C50C-407E-A947-70E740481C1C}">
                          <a14:useLocalDpi xmlns:a14="http://schemas.microsoft.com/office/drawing/2010/main" val="0"/>
                        </a:ext>
                      </a:extLst>
                    </a:blip>
                    <a:stretch>
                      <a:fillRect/>
                    </a:stretch>
                  </pic:blipFill>
                  <pic:spPr>
                    <a:xfrm>
                      <a:off x="0" y="0"/>
                      <a:ext cx="5940425" cy="3994150"/>
                    </a:xfrm>
                    <a:prstGeom prst="rect">
                      <a:avLst/>
                    </a:prstGeom>
                  </pic:spPr>
                </pic:pic>
              </a:graphicData>
            </a:graphic>
          </wp:inline>
        </w:drawing>
      </w:r>
      <w:r>
        <w:rPr>
          <w:b/>
          <w:noProof/>
        </w:rPr>
        <w:drawing>
          <wp:inline distT="0" distB="0" distL="0" distR="0">
            <wp:extent cx="4221846" cy="453429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siness14.png"/>
                    <pic:cNvPicPr/>
                  </pic:nvPicPr>
                  <pic:blipFill>
                    <a:blip r:embed="rId6">
                      <a:extLst>
                        <a:ext uri="{28A0092B-C50C-407E-A947-70E740481C1C}">
                          <a14:useLocalDpi xmlns:a14="http://schemas.microsoft.com/office/drawing/2010/main" val="0"/>
                        </a:ext>
                      </a:extLst>
                    </a:blip>
                    <a:stretch>
                      <a:fillRect/>
                    </a:stretch>
                  </pic:blipFill>
                  <pic:spPr>
                    <a:xfrm>
                      <a:off x="0" y="0"/>
                      <a:ext cx="4221846" cy="4534293"/>
                    </a:xfrm>
                    <a:prstGeom prst="rect">
                      <a:avLst/>
                    </a:prstGeom>
                  </pic:spPr>
                </pic:pic>
              </a:graphicData>
            </a:graphic>
          </wp:inline>
        </w:drawing>
      </w:r>
      <w:r>
        <w:rPr>
          <w:b/>
          <w:noProof/>
        </w:rPr>
        <w:lastRenderedPageBreak/>
        <w:drawing>
          <wp:inline distT="0" distB="0" distL="0" distR="0">
            <wp:extent cx="4198984" cy="45342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siness15.png"/>
                    <pic:cNvPicPr/>
                  </pic:nvPicPr>
                  <pic:blipFill>
                    <a:blip r:embed="rId7">
                      <a:extLst>
                        <a:ext uri="{28A0092B-C50C-407E-A947-70E740481C1C}">
                          <a14:useLocalDpi xmlns:a14="http://schemas.microsoft.com/office/drawing/2010/main" val="0"/>
                        </a:ext>
                      </a:extLst>
                    </a:blip>
                    <a:stretch>
                      <a:fillRect/>
                    </a:stretch>
                  </pic:blipFill>
                  <pic:spPr>
                    <a:xfrm>
                      <a:off x="0" y="0"/>
                      <a:ext cx="4198984" cy="4534293"/>
                    </a:xfrm>
                    <a:prstGeom prst="rect">
                      <a:avLst/>
                    </a:prstGeom>
                  </pic:spPr>
                </pic:pic>
              </a:graphicData>
            </a:graphic>
          </wp:inline>
        </w:drawing>
      </w:r>
      <w:r>
        <w:rPr>
          <w:b/>
          <w:noProof/>
        </w:rPr>
        <w:drawing>
          <wp:inline distT="0" distB="0" distL="0" distR="0">
            <wp:extent cx="4198984" cy="44809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iness16.png"/>
                    <pic:cNvPicPr/>
                  </pic:nvPicPr>
                  <pic:blipFill>
                    <a:blip r:embed="rId8">
                      <a:extLst>
                        <a:ext uri="{28A0092B-C50C-407E-A947-70E740481C1C}">
                          <a14:useLocalDpi xmlns:a14="http://schemas.microsoft.com/office/drawing/2010/main" val="0"/>
                        </a:ext>
                      </a:extLst>
                    </a:blip>
                    <a:stretch>
                      <a:fillRect/>
                    </a:stretch>
                  </pic:blipFill>
                  <pic:spPr>
                    <a:xfrm>
                      <a:off x="0" y="0"/>
                      <a:ext cx="4198984" cy="4480948"/>
                    </a:xfrm>
                    <a:prstGeom prst="rect">
                      <a:avLst/>
                    </a:prstGeom>
                  </pic:spPr>
                </pic:pic>
              </a:graphicData>
            </a:graphic>
          </wp:inline>
        </w:drawing>
      </w:r>
      <w:r>
        <w:rPr>
          <w:b/>
          <w:noProof/>
        </w:rPr>
        <w:lastRenderedPageBreak/>
        <w:drawing>
          <wp:inline distT="0" distB="0" distL="0" distR="0">
            <wp:extent cx="5940425" cy="404177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iness17.png"/>
                    <pic:cNvPicPr/>
                  </pic:nvPicPr>
                  <pic:blipFill>
                    <a:blip r:embed="rId9">
                      <a:extLst>
                        <a:ext uri="{28A0092B-C50C-407E-A947-70E740481C1C}">
                          <a14:useLocalDpi xmlns:a14="http://schemas.microsoft.com/office/drawing/2010/main" val="0"/>
                        </a:ext>
                      </a:extLst>
                    </a:blip>
                    <a:stretch>
                      <a:fillRect/>
                    </a:stretch>
                  </pic:blipFill>
                  <pic:spPr>
                    <a:xfrm>
                      <a:off x="0" y="0"/>
                      <a:ext cx="5940425" cy="4041775"/>
                    </a:xfrm>
                    <a:prstGeom prst="rect">
                      <a:avLst/>
                    </a:prstGeom>
                  </pic:spPr>
                </pic:pic>
              </a:graphicData>
            </a:graphic>
          </wp:inline>
        </w:drawing>
      </w:r>
      <w:r>
        <w:rPr>
          <w:b/>
          <w:noProof/>
        </w:rPr>
        <w:drawing>
          <wp:inline distT="0" distB="0" distL="0" distR="0">
            <wp:extent cx="5940425" cy="4029710"/>
            <wp:effectExtent l="0" t="0" r="317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siness18.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4029710"/>
                    </a:xfrm>
                    <a:prstGeom prst="rect">
                      <a:avLst/>
                    </a:prstGeom>
                  </pic:spPr>
                </pic:pic>
              </a:graphicData>
            </a:graphic>
          </wp:inline>
        </w:drawing>
      </w:r>
      <w:r>
        <w:rPr>
          <w:b/>
          <w:noProof/>
        </w:rPr>
        <w:lastRenderedPageBreak/>
        <w:drawing>
          <wp:inline distT="0" distB="0" distL="0" distR="0">
            <wp:extent cx="5940425" cy="383222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iness19.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3832225"/>
                    </a:xfrm>
                    <a:prstGeom prst="rect">
                      <a:avLst/>
                    </a:prstGeom>
                  </pic:spPr>
                </pic:pic>
              </a:graphicData>
            </a:graphic>
          </wp:inline>
        </w:drawing>
      </w:r>
      <w:r>
        <w:rPr>
          <w:b/>
          <w:noProof/>
        </w:rPr>
        <w:drawing>
          <wp:inline distT="0" distB="0" distL="0" distR="0">
            <wp:extent cx="4206605" cy="4511431"/>
            <wp:effectExtent l="0" t="0" r="381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siness20.png"/>
                    <pic:cNvPicPr/>
                  </pic:nvPicPr>
                  <pic:blipFill>
                    <a:blip r:embed="rId12">
                      <a:extLst>
                        <a:ext uri="{28A0092B-C50C-407E-A947-70E740481C1C}">
                          <a14:useLocalDpi xmlns:a14="http://schemas.microsoft.com/office/drawing/2010/main" val="0"/>
                        </a:ext>
                      </a:extLst>
                    </a:blip>
                    <a:stretch>
                      <a:fillRect/>
                    </a:stretch>
                  </pic:blipFill>
                  <pic:spPr>
                    <a:xfrm>
                      <a:off x="0" y="0"/>
                      <a:ext cx="4206605" cy="4511431"/>
                    </a:xfrm>
                    <a:prstGeom prst="rect">
                      <a:avLst/>
                    </a:prstGeom>
                  </pic:spPr>
                </pic:pic>
              </a:graphicData>
            </a:graphic>
          </wp:inline>
        </w:drawing>
      </w:r>
      <w:r>
        <w:rPr>
          <w:b/>
          <w:noProof/>
        </w:rPr>
        <w:lastRenderedPageBreak/>
        <w:drawing>
          <wp:inline distT="0" distB="0" distL="0" distR="0">
            <wp:extent cx="4198984" cy="45190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siness21.png"/>
                    <pic:cNvPicPr/>
                  </pic:nvPicPr>
                  <pic:blipFill>
                    <a:blip r:embed="rId13">
                      <a:extLst>
                        <a:ext uri="{28A0092B-C50C-407E-A947-70E740481C1C}">
                          <a14:useLocalDpi xmlns:a14="http://schemas.microsoft.com/office/drawing/2010/main" val="0"/>
                        </a:ext>
                      </a:extLst>
                    </a:blip>
                    <a:stretch>
                      <a:fillRect/>
                    </a:stretch>
                  </pic:blipFill>
                  <pic:spPr>
                    <a:xfrm>
                      <a:off x="0" y="0"/>
                      <a:ext cx="4198984" cy="4519052"/>
                    </a:xfrm>
                    <a:prstGeom prst="rect">
                      <a:avLst/>
                    </a:prstGeom>
                  </pic:spPr>
                </pic:pic>
              </a:graphicData>
            </a:graphic>
          </wp:inline>
        </w:drawing>
      </w:r>
      <w:r>
        <w:rPr>
          <w:b/>
          <w:noProof/>
        </w:rPr>
        <w:drawing>
          <wp:inline distT="0" distB="0" distL="0" distR="0">
            <wp:extent cx="4183743" cy="449619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siness22.png"/>
                    <pic:cNvPicPr/>
                  </pic:nvPicPr>
                  <pic:blipFill>
                    <a:blip r:embed="rId14">
                      <a:extLst>
                        <a:ext uri="{28A0092B-C50C-407E-A947-70E740481C1C}">
                          <a14:useLocalDpi xmlns:a14="http://schemas.microsoft.com/office/drawing/2010/main" val="0"/>
                        </a:ext>
                      </a:extLst>
                    </a:blip>
                    <a:stretch>
                      <a:fillRect/>
                    </a:stretch>
                  </pic:blipFill>
                  <pic:spPr>
                    <a:xfrm>
                      <a:off x="0" y="0"/>
                      <a:ext cx="4183743" cy="4496190"/>
                    </a:xfrm>
                    <a:prstGeom prst="rect">
                      <a:avLst/>
                    </a:prstGeom>
                  </pic:spPr>
                </pic:pic>
              </a:graphicData>
            </a:graphic>
          </wp:inline>
        </w:drawing>
      </w:r>
      <w:r>
        <w:rPr>
          <w:b/>
          <w:noProof/>
        </w:rPr>
        <w:lastRenderedPageBreak/>
        <w:drawing>
          <wp:inline distT="0" distB="0" distL="0" distR="0">
            <wp:extent cx="4191363" cy="45190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siness23.png"/>
                    <pic:cNvPicPr/>
                  </pic:nvPicPr>
                  <pic:blipFill>
                    <a:blip r:embed="rId15">
                      <a:extLst>
                        <a:ext uri="{28A0092B-C50C-407E-A947-70E740481C1C}">
                          <a14:useLocalDpi xmlns:a14="http://schemas.microsoft.com/office/drawing/2010/main" val="0"/>
                        </a:ext>
                      </a:extLst>
                    </a:blip>
                    <a:stretch>
                      <a:fillRect/>
                    </a:stretch>
                  </pic:blipFill>
                  <pic:spPr>
                    <a:xfrm>
                      <a:off x="0" y="0"/>
                      <a:ext cx="4191363" cy="4519052"/>
                    </a:xfrm>
                    <a:prstGeom prst="rect">
                      <a:avLst/>
                    </a:prstGeom>
                  </pic:spPr>
                </pic:pic>
              </a:graphicData>
            </a:graphic>
          </wp:inline>
        </w:drawing>
      </w:r>
      <w:r>
        <w:rPr>
          <w:b/>
          <w:noProof/>
        </w:rPr>
        <w:drawing>
          <wp:inline distT="0" distB="0" distL="0" distR="0">
            <wp:extent cx="5940425" cy="36474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siness24.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3647440"/>
                    </a:xfrm>
                    <a:prstGeom prst="rect">
                      <a:avLst/>
                    </a:prstGeom>
                  </pic:spPr>
                </pic:pic>
              </a:graphicData>
            </a:graphic>
          </wp:inline>
        </w:drawing>
      </w:r>
      <w:r>
        <w:rPr>
          <w:b/>
          <w:noProof/>
        </w:rPr>
        <w:lastRenderedPageBreak/>
        <w:drawing>
          <wp:inline distT="0" distB="0" distL="0" distR="0">
            <wp:extent cx="5940425" cy="39128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iness25.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3912870"/>
                    </a:xfrm>
                    <a:prstGeom prst="rect">
                      <a:avLst/>
                    </a:prstGeom>
                  </pic:spPr>
                </pic:pic>
              </a:graphicData>
            </a:graphic>
          </wp:inline>
        </w:drawing>
      </w:r>
      <w:r>
        <w:rPr>
          <w:b/>
          <w:noProof/>
        </w:rPr>
        <w:drawing>
          <wp:inline distT="0" distB="0" distL="0" distR="0">
            <wp:extent cx="5940425" cy="416242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siness26.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4162425"/>
                    </a:xfrm>
                    <a:prstGeom prst="rect">
                      <a:avLst/>
                    </a:prstGeom>
                  </pic:spPr>
                </pic:pic>
              </a:graphicData>
            </a:graphic>
          </wp:inline>
        </w:drawing>
      </w:r>
    </w:p>
    <w:p w:rsidR="00FA461B" w:rsidRDefault="00FA461B" w:rsidP="00FA461B">
      <w:pPr>
        <w:jc w:val="center"/>
        <w:rPr>
          <w:b/>
        </w:rPr>
      </w:pPr>
    </w:p>
    <w:p w:rsidR="00FA461B" w:rsidRDefault="00FA461B" w:rsidP="00FA461B">
      <w:pPr>
        <w:jc w:val="center"/>
        <w:rPr>
          <w:b/>
        </w:rPr>
      </w:pPr>
    </w:p>
    <w:p w:rsidR="00FA461B" w:rsidRDefault="00FA461B" w:rsidP="00FA461B">
      <w:pPr>
        <w:jc w:val="center"/>
        <w:rPr>
          <w:b/>
        </w:rPr>
      </w:pPr>
    </w:p>
    <w:p w:rsidR="00FA461B" w:rsidRDefault="00FA461B" w:rsidP="00FA461B">
      <w:pPr>
        <w:jc w:val="center"/>
        <w:rPr>
          <w:b/>
        </w:rPr>
      </w:pPr>
    </w:p>
    <w:p w:rsidR="00FA461B" w:rsidRDefault="00FA461B" w:rsidP="00FA461B">
      <w:pPr>
        <w:jc w:val="center"/>
        <w:rPr>
          <w:b/>
          <w:lang w:val="en-US"/>
        </w:rPr>
      </w:pPr>
      <w:r>
        <w:rPr>
          <w:b/>
        </w:rPr>
        <w:lastRenderedPageBreak/>
        <w:t>Ответы на контрольные вопросы</w:t>
      </w:r>
      <w:r>
        <w:rPr>
          <w:b/>
          <w:lang w:val="en-US"/>
        </w:rPr>
        <w:t>:</w:t>
      </w:r>
    </w:p>
    <w:p w:rsidR="00FA461B" w:rsidRPr="001E09CF" w:rsidRDefault="001E09CF" w:rsidP="00FA461B">
      <w:pPr>
        <w:pStyle w:val="a5"/>
        <w:numPr>
          <w:ilvl w:val="0"/>
          <w:numId w:val="1"/>
        </w:numPr>
      </w:pPr>
      <w:r>
        <w:t>Диаграммы декомпозиции служат для более подробного описания родительской работы.</w:t>
      </w:r>
    </w:p>
    <w:p w:rsidR="00FA461B" w:rsidRPr="001E09CF" w:rsidRDefault="001E09CF" w:rsidP="00FA461B">
      <w:pPr>
        <w:pStyle w:val="a5"/>
        <w:numPr>
          <w:ilvl w:val="0"/>
          <w:numId w:val="1"/>
        </w:numPr>
      </w:pPr>
      <w:r>
        <w:t>Рекомендуется использовать не более 4 работ для более понятного вида диаграмм.</w:t>
      </w:r>
    </w:p>
    <w:p w:rsidR="00FA461B" w:rsidRPr="001E09CF" w:rsidRDefault="001E09CF" w:rsidP="00FA461B">
      <w:pPr>
        <w:pStyle w:val="a5"/>
        <w:numPr>
          <w:ilvl w:val="0"/>
          <w:numId w:val="1"/>
        </w:numPr>
      </w:pPr>
      <w:r>
        <w:t>Такой порядок называется порядком доминирования, согласно которому верхняя работа выполняется раньше нижних.</w:t>
      </w:r>
    </w:p>
    <w:p w:rsidR="00FA461B" w:rsidRDefault="001E09CF" w:rsidP="00FA461B">
      <w:pPr>
        <w:pStyle w:val="a5"/>
        <w:numPr>
          <w:ilvl w:val="0"/>
          <w:numId w:val="1"/>
        </w:numPr>
      </w:pPr>
      <w:r>
        <w:t>Косая черта показывает, что работа не была декомп</w:t>
      </w:r>
      <w:r w:rsidR="00BE4A88">
        <w:t>о</w:t>
      </w:r>
      <w:r>
        <w:t>зирова</w:t>
      </w:r>
      <w:r w:rsidR="00BE4A88">
        <w:t>на.</w:t>
      </w:r>
    </w:p>
    <w:p w:rsidR="00FA461B" w:rsidRDefault="00BE4A88" w:rsidP="004E2B96">
      <w:pPr>
        <w:pStyle w:val="a5"/>
        <w:numPr>
          <w:ilvl w:val="0"/>
          <w:numId w:val="1"/>
        </w:numPr>
      </w:pPr>
      <w:r>
        <w:t xml:space="preserve">Код </w:t>
      </w:r>
      <w:r>
        <w:rPr>
          <w:lang w:val="en-US"/>
        </w:rPr>
        <w:t>ICOM</w:t>
      </w:r>
      <w:r w:rsidRPr="00BE4A88">
        <w:t xml:space="preserve"> </w:t>
      </w:r>
      <w:r>
        <w:t>предназначен для идентификации граничных стрелок</w:t>
      </w:r>
      <w:r w:rsidRPr="00BE4A88">
        <w:t>.</w:t>
      </w:r>
    </w:p>
    <w:p w:rsidR="004E2B96" w:rsidRDefault="004E2B96" w:rsidP="004E2B96">
      <w:pPr>
        <w:pStyle w:val="a5"/>
        <w:numPr>
          <w:ilvl w:val="0"/>
          <w:numId w:val="1"/>
        </w:numPr>
        <w:rPr>
          <w:rFonts w:ascii="Arial" w:hAnsi="Arial" w:cs="Arial"/>
          <w:color w:val="000000"/>
          <w:sz w:val="20"/>
          <w:szCs w:val="20"/>
          <w:shd w:val="clear" w:color="auto" w:fill="FFFFFF"/>
        </w:rPr>
      </w:pPr>
      <w:r w:rsidRPr="004E2B96">
        <w:rPr>
          <w:rFonts w:ascii="Arial" w:hAnsi="Arial" w:cs="Arial"/>
          <w:color w:val="000000"/>
          <w:sz w:val="20"/>
          <w:szCs w:val="20"/>
          <w:shd w:val="clear" w:color="auto" w:fill="FFFFFF"/>
        </w:rPr>
        <w:t>Стрелки появляются автоматически после декомпозиции, но при этом работ не касаются.</w:t>
      </w:r>
    </w:p>
    <w:p w:rsidR="004E2B96" w:rsidRPr="004E2B96" w:rsidRDefault="004E2B96" w:rsidP="004E2B96">
      <w:pPr>
        <w:pStyle w:val="a5"/>
        <w:numPr>
          <w:ilvl w:val="0"/>
          <w:numId w:val="1"/>
        </w:numPr>
        <w:rPr>
          <w:rFonts w:ascii="Arial" w:hAnsi="Arial" w:cs="Arial"/>
          <w:color w:val="000000"/>
          <w:sz w:val="20"/>
          <w:szCs w:val="20"/>
          <w:shd w:val="clear" w:color="auto" w:fill="FFFFFF"/>
        </w:rPr>
      </w:pPr>
      <w:r w:rsidRPr="004E2B96">
        <w:rPr>
          <w:rFonts w:ascii="Arial" w:hAnsi="Arial" w:cs="Arial"/>
          <w:color w:val="000000"/>
          <w:sz w:val="20"/>
          <w:szCs w:val="20"/>
          <w:shd w:val="clear" w:color="auto" w:fill="FFFFFF"/>
        </w:rPr>
        <w:t>Стрелки появляются после декомпозиции</w:t>
      </w:r>
    </w:p>
    <w:p w:rsidR="004E2B96" w:rsidRPr="004E2B96" w:rsidRDefault="004E2B96" w:rsidP="004E2B96">
      <w:pPr>
        <w:pStyle w:val="a5"/>
        <w:numPr>
          <w:ilvl w:val="0"/>
          <w:numId w:val="1"/>
        </w:numPr>
        <w:rPr>
          <w:rFonts w:ascii="Arial" w:hAnsi="Arial" w:cs="Arial"/>
          <w:color w:val="000000"/>
          <w:sz w:val="20"/>
          <w:szCs w:val="20"/>
          <w:shd w:val="clear" w:color="auto" w:fill="FFFFFF"/>
        </w:rPr>
      </w:pPr>
      <w:r w:rsidRPr="004E2B96">
        <w:rPr>
          <w:rFonts w:ascii="Arial" w:hAnsi="Arial" w:cs="Arial"/>
          <w:color w:val="000000"/>
          <w:sz w:val="20"/>
          <w:szCs w:val="20"/>
          <w:shd w:val="clear" w:color="auto" w:fill="FFFFFF"/>
        </w:rPr>
        <w:t>Внутренние стрелки нужны для связи работ между собой.</w:t>
      </w:r>
    </w:p>
    <w:p w:rsidR="004E2B96" w:rsidRDefault="004E2B96" w:rsidP="004E2B96">
      <w:pPr>
        <w:pStyle w:val="a5"/>
        <w:numPr>
          <w:ilvl w:val="0"/>
          <w:numId w:val="1"/>
        </w:numPr>
        <w:rPr>
          <w:rFonts w:ascii="Arial" w:hAnsi="Arial" w:cs="Arial"/>
          <w:color w:val="000000"/>
          <w:sz w:val="20"/>
          <w:szCs w:val="20"/>
          <w:shd w:val="clear" w:color="auto" w:fill="FFFFFF"/>
        </w:rPr>
      </w:pPr>
      <w:r w:rsidRPr="004E2B96">
        <w:rPr>
          <w:rFonts w:ascii="Arial" w:hAnsi="Arial" w:cs="Arial"/>
          <w:color w:val="000000"/>
          <w:sz w:val="20"/>
          <w:szCs w:val="20"/>
          <w:shd w:val="clear" w:color="auto" w:fill="FFFFFF"/>
        </w:rPr>
        <w:t>Связь по входу образуется, когда стрелка из вышестоящей работы идёт на вход нижестоящей работы.</w:t>
      </w:r>
      <w:r w:rsidRPr="004E2B96">
        <w:rPr>
          <w:rFonts w:ascii="Arial" w:hAnsi="Arial" w:cs="Arial"/>
          <w:color w:val="000000"/>
          <w:sz w:val="20"/>
          <w:szCs w:val="20"/>
        </w:rPr>
        <w:br/>
      </w:r>
    </w:p>
    <w:p w:rsidR="004E2B96" w:rsidRDefault="004E2B96" w:rsidP="004E2B96">
      <w:pPr>
        <w:pStyle w:val="a5"/>
        <w:numPr>
          <w:ilvl w:val="0"/>
          <w:numId w:val="1"/>
        </w:numPr>
        <w:rPr>
          <w:rFonts w:ascii="Arial" w:hAnsi="Arial" w:cs="Arial"/>
          <w:color w:val="000000"/>
          <w:sz w:val="20"/>
          <w:szCs w:val="20"/>
          <w:shd w:val="clear" w:color="auto" w:fill="FFFFFF"/>
        </w:rPr>
      </w:pPr>
      <w:r w:rsidRPr="004E2B96">
        <w:rPr>
          <w:rFonts w:ascii="Arial" w:hAnsi="Arial" w:cs="Arial"/>
          <w:color w:val="000000"/>
          <w:sz w:val="20"/>
          <w:szCs w:val="20"/>
          <w:shd w:val="clear" w:color="auto" w:fill="FFFFFF"/>
        </w:rPr>
        <w:t>Связь по управлению образуется, когда выход вышестоящей работы идёт на управление нижестоящей работы.</w:t>
      </w:r>
      <w:r w:rsidRPr="004E2B96">
        <w:rPr>
          <w:rFonts w:ascii="Arial" w:hAnsi="Arial" w:cs="Arial"/>
          <w:color w:val="000000"/>
          <w:sz w:val="20"/>
          <w:szCs w:val="20"/>
        </w:rPr>
        <w:br/>
      </w:r>
    </w:p>
    <w:p w:rsidR="004E2B96" w:rsidRDefault="004E2B96" w:rsidP="004E2B96">
      <w:pPr>
        <w:pStyle w:val="a5"/>
        <w:numPr>
          <w:ilvl w:val="0"/>
          <w:numId w:val="1"/>
        </w:numPr>
        <w:rPr>
          <w:rFonts w:ascii="Arial" w:hAnsi="Arial" w:cs="Arial"/>
          <w:color w:val="000000"/>
          <w:sz w:val="20"/>
          <w:szCs w:val="20"/>
          <w:shd w:val="clear" w:color="auto" w:fill="FFFFFF"/>
        </w:rPr>
      </w:pPr>
      <w:r w:rsidRPr="004E2B96">
        <w:rPr>
          <w:rFonts w:ascii="Arial" w:hAnsi="Arial" w:cs="Arial"/>
          <w:color w:val="000000"/>
          <w:sz w:val="20"/>
          <w:szCs w:val="20"/>
          <w:shd w:val="clear" w:color="auto" w:fill="FFFFFF"/>
        </w:rPr>
        <w:t>Обратная связь по входу образуется, когда стрелка из нижестоящей работы идёт на вход вышестоящей работы.</w:t>
      </w:r>
      <w:r w:rsidRPr="004E2B96">
        <w:rPr>
          <w:rFonts w:ascii="Arial" w:hAnsi="Arial" w:cs="Arial"/>
          <w:color w:val="000000"/>
          <w:sz w:val="20"/>
          <w:szCs w:val="20"/>
        </w:rPr>
        <w:br/>
      </w:r>
    </w:p>
    <w:p w:rsidR="004E2B96" w:rsidRDefault="004E2B96" w:rsidP="004E2B96">
      <w:pPr>
        <w:pStyle w:val="a5"/>
        <w:numPr>
          <w:ilvl w:val="0"/>
          <w:numId w:val="1"/>
        </w:numPr>
        <w:rPr>
          <w:rFonts w:ascii="Arial" w:hAnsi="Arial" w:cs="Arial"/>
          <w:color w:val="000000"/>
          <w:sz w:val="20"/>
          <w:szCs w:val="20"/>
          <w:shd w:val="clear" w:color="auto" w:fill="FFFFFF"/>
        </w:rPr>
      </w:pPr>
      <w:r w:rsidRPr="004E2B96">
        <w:rPr>
          <w:rFonts w:ascii="Arial" w:hAnsi="Arial" w:cs="Arial"/>
          <w:color w:val="000000"/>
          <w:sz w:val="20"/>
          <w:szCs w:val="20"/>
          <w:shd w:val="clear" w:color="auto" w:fill="FFFFFF"/>
        </w:rPr>
        <w:t>Обратная связь по управлению образуется, когда выход нижестоящей работы идёт на управление вышестоящей работы.</w:t>
      </w:r>
      <w:r w:rsidRPr="004E2B96">
        <w:rPr>
          <w:rFonts w:ascii="Arial" w:hAnsi="Arial" w:cs="Arial"/>
          <w:color w:val="000000"/>
          <w:sz w:val="20"/>
          <w:szCs w:val="20"/>
        </w:rPr>
        <w:br/>
      </w:r>
    </w:p>
    <w:p w:rsidR="004E2B96" w:rsidRDefault="004E2B96" w:rsidP="004E2B96">
      <w:pPr>
        <w:pStyle w:val="a5"/>
        <w:numPr>
          <w:ilvl w:val="0"/>
          <w:numId w:val="1"/>
        </w:numPr>
        <w:rPr>
          <w:rFonts w:ascii="Arial" w:hAnsi="Arial" w:cs="Arial"/>
          <w:color w:val="000000"/>
          <w:sz w:val="20"/>
          <w:szCs w:val="20"/>
          <w:shd w:val="clear" w:color="auto" w:fill="FFFFFF"/>
        </w:rPr>
      </w:pPr>
      <w:r w:rsidRPr="004E2B96">
        <w:rPr>
          <w:rFonts w:ascii="Arial" w:hAnsi="Arial" w:cs="Arial"/>
          <w:color w:val="000000"/>
          <w:sz w:val="20"/>
          <w:szCs w:val="20"/>
          <w:shd w:val="clear" w:color="auto" w:fill="FFFFFF"/>
        </w:rPr>
        <w:t>Связь выход-механизм образуется, когда выход одной работы направляется на механизм другой работы.</w:t>
      </w:r>
      <w:r w:rsidRPr="004E2B96">
        <w:rPr>
          <w:rFonts w:ascii="Arial" w:hAnsi="Arial" w:cs="Arial"/>
          <w:color w:val="000000"/>
          <w:sz w:val="20"/>
          <w:szCs w:val="20"/>
        </w:rPr>
        <w:br/>
      </w:r>
    </w:p>
    <w:p w:rsidR="004E2B96" w:rsidRDefault="004E2B96" w:rsidP="004E2B96">
      <w:pPr>
        <w:pStyle w:val="a5"/>
        <w:numPr>
          <w:ilvl w:val="0"/>
          <w:numId w:val="1"/>
        </w:numPr>
        <w:rPr>
          <w:rFonts w:ascii="Arial" w:hAnsi="Arial" w:cs="Arial"/>
          <w:color w:val="000000"/>
          <w:sz w:val="20"/>
          <w:szCs w:val="20"/>
          <w:shd w:val="clear" w:color="auto" w:fill="FFFFFF"/>
        </w:rPr>
      </w:pPr>
      <w:r w:rsidRPr="004E2B96">
        <w:rPr>
          <w:rFonts w:ascii="Arial" w:hAnsi="Arial" w:cs="Arial"/>
          <w:color w:val="000000"/>
          <w:sz w:val="20"/>
          <w:szCs w:val="20"/>
          <w:shd w:val="clear" w:color="auto" w:fill="FFFFFF"/>
        </w:rPr>
        <w:t>Если стрелки после ветвления не именована, то она имеет тот же смысл, что и до ветвления;</w:t>
      </w:r>
      <w:r w:rsidRPr="004E2B96">
        <w:rPr>
          <w:rFonts w:ascii="Arial" w:hAnsi="Arial" w:cs="Arial"/>
          <w:color w:val="000000"/>
          <w:sz w:val="20"/>
          <w:szCs w:val="20"/>
          <w:shd w:val="clear" w:color="auto" w:fill="FFFFFF"/>
        </w:rPr>
        <w:t xml:space="preserve"> </w:t>
      </w:r>
      <w:r w:rsidRPr="004E2B96">
        <w:rPr>
          <w:rFonts w:ascii="Arial" w:hAnsi="Arial" w:cs="Arial"/>
          <w:color w:val="000000"/>
          <w:sz w:val="20"/>
          <w:szCs w:val="20"/>
          <w:shd w:val="clear" w:color="auto" w:fill="FFFFFF"/>
        </w:rPr>
        <w:t>ситуация</w:t>
      </w:r>
      <w:r w:rsidRPr="004E2B96">
        <w:rPr>
          <w:rFonts w:ascii="Arial" w:hAnsi="Arial" w:cs="Arial"/>
          <w:color w:val="000000"/>
          <w:sz w:val="20"/>
          <w:szCs w:val="20"/>
          <w:shd w:val="clear" w:color="auto" w:fill="FFFFFF"/>
        </w:rPr>
        <w:t>,</w:t>
      </w:r>
      <w:r w:rsidRPr="004E2B96">
        <w:rPr>
          <w:rFonts w:ascii="Arial" w:hAnsi="Arial" w:cs="Arial"/>
          <w:color w:val="000000"/>
          <w:sz w:val="20"/>
          <w:szCs w:val="20"/>
          <w:shd w:val="clear" w:color="auto" w:fill="FFFFFF"/>
        </w:rPr>
        <w:t xml:space="preserve"> когда стрелка именована после разветвления, а до разветвления не именована</w:t>
      </w:r>
      <w:r w:rsidRPr="004E2B96">
        <w:rPr>
          <w:rFonts w:ascii="Arial" w:hAnsi="Arial" w:cs="Arial"/>
          <w:color w:val="000000"/>
          <w:sz w:val="20"/>
          <w:szCs w:val="20"/>
          <w:shd w:val="clear" w:color="auto" w:fill="FFFFFF"/>
        </w:rPr>
        <w:t>,</w:t>
      </w:r>
      <w:r w:rsidRPr="004E2B96">
        <w:rPr>
          <w:rFonts w:ascii="Arial" w:hAnsi="Arial" w:cs="Arial"/>
          <w:color w:val="000000"/>
          <w:sz w:val="20"/>
          <w:szCs w:val="20"/>
          <w:shd w:val="clear" w:color="auto" w:fill="FFFFFF"/>
        </w:rPr>
        <w:t xml:space="preserve"> недопустима.</w:t>
      </w:r>
      <w:r w:rsidRPr="004E2B96">
        <w:rPr>
          <w:rFonts w:ascii="Arial" w:hAnsi="Arial" w:cs="Arial"/>
          <w:color w:val="000000"/>
          <w:sz w:val="20"/>
          <w:szCs w:val="20"/>
        </w:rPr>
        <w:br/>
      </w:r>
    </w:p>
    <w:p w:rsidR="004E2B96" w:rsidRPr="004E2B96" w:rsidRDefault="004E2B96" w:rsidP="004E2B96">
      <w:pPr>
        <w:pStyle w:val="a5"/>
        <w:numPr>
          <w:ilvl w:val="0"/>
          <w:numId w:val="1"/>
        </w:numPr>
        <w:rPr>
          <w:rFonts w:ascii="Arial" w:hAnsi="Arial" w:cs="Arial"/>
          <w:color w:val="000000"/>
          <w:sz w:val="20"/>
          <w:szCs w:val="20"/>
          <w:shd w:val="clear" w:color="auto" w:fill="FFFFFF"/>
        </w:rPr>
      </w:pPr>
      <w:r w:rsidRPr="004E2B96">
        <w:rPr>
          <w:rFonts w:ascii="Arial" w:hAnsi="Arial" w:cs="Arial"/>
          <w:color w:val="000000"/>
          <w:sz w:val="20"/>
          <w:szCs w:val="20"/>
          <w:shd w:val="clear" w:color="auto" w:fill="FFFFFF"/>
        </w:rPr>
        <w:t>Туннелирование стрелок нужно для того, чтобы стрелка не попала на другую диаграмму или для моделирования малозначащих стрелок.</w:t>
      </w:r>
    </w:p>
    <w:p w:rsidR="004E2B96" w:rsidRDefault="004E2B96" w:rsidP="004E2B96">
      <w:pPr>
        <w:pStyle w:val="a5"/>
        <w:numPr>
          <w:ilvl w:val="0"/>
          <w:numId w:val="1"/>
        </w:numPr>
        <w:rPr>
          <w:rFonts w:ascii="Arial" w:hAnsi="Arial" w:cs="Arial"/>
          <w:color w:val="000000"/>
          <w:sz w:val="20"/>
          <w:szCs w:val="20"/>
          <w:shd w:val="clear" w:color="auto" w:fill="FFFFFF"/>
        </w:rPr>
      </w:pPr>
      <w:proofErr w:type="spellStart"/>
      <w:r w:rsidRPr="004E2B96">
        <w:rPr>
          <w:rFonts w:ascii="Arial" w:hAnsi="Arial" w:cs="Arial"/>
          <w:color w:val="000000"/>
          <w:sz w:val="20"/>
          <w:szCs w:val="20"/>
          <w:shd w:val="clear" w:color="auto" w:fill="FFFFFF"/>
        </w:rPr>
        <w:t>Т</w:t>
      </w:r>
      <w:r w:rsidRPr="004E2B96">
        <w:rPr>
          <w:rFonts w:ascii="Arial" w:hAnsi="Arial" w:cs="Arial"/>
          <w:color w:val="000000"/>
          <w:sz w:val="20"/>
          <w:szCs w:val="20"/>
          <w:shd w:val="clear" w:color="auto" w:fill="FFFFFF"/>
        </w:rPr>
        <w:t>оннелирование</w:t>
      </w:r>
      <w:proofErr w:type="spellEnd"/>
      <w:r w:rsidRPr="004E2B96">
        <w:rPr>
          <w:rFonts w:ascii="Arial" w:hAnsi="Arial" w:cs="Arial"/>
          <w:color w:val="000000"/>
          <w:sz w:val="20"/>
          <w:szCs w:val="20"/>
          <w:shd w:val="clear" w:color="auto" w:fill="FFFFFF"/>
        </w:rPr>
        <w:t xml:space="preserve"> стрелки на самом нижнем уровне называется «не-в-родительской-диаграмме</w:t>
      </w:r>
      <w:r w:rsidRPr="004E2B96">
        <w:rPr>
          <w:rFonts w:ascii="Arial" w:hAnsi="Arial" w:cs="Arial"/>
          <w:color w:val="000000"/>
          <w:sz w:val="20"/>
          <w:szCs w:val="20"/>
          <w:shd w:val="clear" w:color="auto" w:fill="FFFFFF"/>
        </w:rPr>
        <w:t>»</w:t>
      </w:r>
      <w:r w:rsidR="00E924A1">
        <w:rPr>
          <w:rFonts w:ascii="Arial" w:hAnsi="Arial" w:cs="Arial"/>
          <w:color w:val="000000"/>
          <w:sz w:val="20"/>
          <w:szCs w:val="20"/>
          <w:shd w:val="clear" w:color="auto" w:fill="FFFFFF"/>
        </w:rPr>
        <w:t>.</w:t>
      </w:r>
    </w:p>
    <w:p w:rsidR="00E924A1" w:rsidRPr="00E924A1" w:rsidRDefault="00E924A1" w:rsidP="00E924A1">
      <w:pPr>
        <w:pStyle w:val="a6"/>
        <w:numPr>
          <w:ilvl w:val="0"/>
          <w:numId w:val="1"/>
        </w:numPr>
        <w:rPr>
          <w:color w:val="000000"/>
        </w:rPr>
      </w:pPr>
      <w:r>
        <w:rPr>
          <w:color w:val="000000"/>
        </w:rPr>
        <w:t>К</w:t>
      </w:r>
      <w:bookmarkStart w:id="0" w:name="_GoBack"/>
      <w:bookmarkEnd w:id="0"/>
      <w:r>
        <w:rPr>
          <w:color w:val="000000"/>
        </w:rPr>
        <w:t xml:space="preserve">огда стрелка механизма мигрирует с верхнего уровня на нижний, причем на нижнем уровне этот механизм используется одинаково во всех работах без исключения. (Предполагается, что не нужно детализировать стрелку механизма, т. е. стрелка механизма на дочерней работе именована до разветвления, а после разветвления ветви не имеет собственного имени.) В этом случае стрелка механизма на нижнем уровне может быть удалена, после чего на родительской диаграмме она может быть </w:t>
      </w:r>
      <w:proofErr w:type="spellStart"/>
      <w:r>
        <w:rPr>
          <w:color w:val="000000"/>
        </w:rPr>
        <w:t>затоннелирована</w:t>
      </w:r>
      <w:proofErr w:type="spellEnd"/>
      <w:r>
        <w:rPr>
          <w:color w:val="000000"/>
        </w:rPr>
        <w:t xml:space="preserve">, а в комментарии к стрелке или в словаре можно указать, что механизм будет использоваться во всех работах дочерней диаграммы декомпозиции. Такое </w:t>
      </w:r>
      <w:proofErr w:type="spellStart"/>
      <w:r>
        <w:rPr>
          <w:color w:val="000000"/>
        </w:rPr>
        <w:t>тоннелирование</w:t>
      </w:r>
      <w:proofErr w:type="spellEnd"/>
      <w:r>
        <w:rPr>
          <w:color w:val="000000"/>
        </w:rPr>
        <w:t xml:space="preserve"> называется «не-в-дочерней-работе»</w:t>
      </w:r>
      <w:r>
        <w:rPr>
          <w:color w:val="000000"/>
        </w:rPr>
        <w:t>.</w:t>
      </w:r>
    </w:p>
    <w:sectPr w:rsidR="00E924A1" w:rsidRPr="00E924A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2514FB"/>
    <w:multiLevelType w:val="hybridMultilevel"/>
    <w:tmpl w:val="9380FE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61B"/>
    <w:rsid w:val="001E09CF"/>
    <w:rsid w:val="00373507"/>
    <w:rsid w:val="004E2B96"/>
    <w:rsid w:val="00BE4A88"/>
    <w:rsid w:val="00E924A1"/>
    <w:rsid w:val="00FA46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B9409"/>
  <w15:chartTrackingRefBased/>
  <w15:docId w15:val="{54BD7A86-20FC-4E32-A070-85A5C0B70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A461B"/>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FA461B"/>
    <w:rPr>
      <w:rFonts w:ascii="Segoe UI" w:hAnsi="Segoe UI" w:cs="Segoe UI"/>
      <w:sz w:val="18"/>
      <w:szCs w:val="18"/>
    </w:rPr>
  </w:style>
  <w:style w:type="paragraph" w:styleId="a5">
    <w:name w:val="List Paragraph"/>
    <w:basedOn w:val="a"/>
    <w:uiPriority w:val="34"/>
    <w:qFormat/>
    <w:rsid w:val="00FA461B"/>
    <w:pPr>
      <w:ind w:left="720"/>
      <w:contextualSpacing/>
    </w:pPr>
  </w:style>
  <w:style w:type="paragraph" w:styleId="a6">
    <w:name w:val="Normal (Web)"/>
    <w:basedOn w:val="a"/>
    <w:uiPriority w:val="99"/>
    <w:unhideWhenUsed/>
    <w:rsid w:val="00E924A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435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334</Words>
  <Characters>1904</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Гришутенко</dc:creator>
  <cp:keywords/>
  <dc:description/>
  <cp:lastModifiedBy>Павел Гришутенко</cp:lastModifiedBy>
  <cp:revision>3</cp:revision>
  <dcterms:created xsi:type="dcterms:W3CDTF">2019-10-08T19:45:00Z</dcterms:created>
  <dcterms:modified xsi:type="dcterms:W3CDTF">2019-10-09T07:35:00Z</dcterms:modified>
</cp:coreProperties>
</file>