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Конспект Гришутенко Павла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grasp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GRASP - общие шаблоны распределения ответственностей; также существует английское слово "grasp" — «контроль, хватка») — шаблоны, используемые в объектно-ориентированном проектировании для решения общих задач по назначению ответственностей классам и объектам. [wiki]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solid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SOLID - (сокр. от англ. single responsibility, open–closed, Liskov substitution, interface segregation и dependency inversion) в программировании — мнемонический акроним, введённый Майклом Фэзерсом (Michael Feathers) для первых пяти принципов, названных Робертом Мартином в начале 2000-х, которые означали 5 основных принципов объектно-ориентированного программирования и проектирования. [wiki]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355"/>
        <w:gridCol w:w="4620"/>
        <w:tblGridChange w:id="0">
          <w:tblGrid>
            <w:gridCol w:w="1890"/>
            <w:gridCol w:w="2355"/>
            <w:gridCol w:w="462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a2a9b1" w:space="0" w:sz="8" w:val="single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Инициал</w:t>
            </w:r>
          </w:p>
        </w:tc>
        <w:tc>
          <w:tcPr>
            <w:tcBorders>
              <w:top w:color="a2a9b1" w:space="0" w:sz="8" w:val="single"/>
              <w:left w:color="000000" w:space="0" w:sz="0" w:val="nil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jc w:val="center"/>
              <w:rPr>
                <w:color w:val="0b0080"/>
                <w:sz w:val="26"/>
                <w:szCs w:val="26"/>
                <w:u w:val="single"/>
                <w:vertAlign w:val="superscript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Представляет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8" w:val="single"/>
              <w:left w:color="000000" w:space="0" w:sz="0" w:val="nil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Названи, понятие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>
                <w:color w:val="0b0080"/>
                <w:sz w:val="26"/>
                <w:szCs w:val="26"/>
                <w:u w:val="single"/>
                <w:vertAlign w:val="superscript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SRP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0" w:before="240" w:lineRule="auto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Принцип единственной ответственности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 (single responsibility principle)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20" w:lineRule="auto"/>
              <w:ind w:left="720" w:firstLine="0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Для каждого класса должно быть определено единственное назначение. Все ресурсы, необходимые для его осуществления, должны быть инкапсулированы в этот класс и подчинены только этой задаче.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380" w:firstLine="0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380" w:firstLine="0"/>
              <w:rPr>
                <w:color w:val="0b0080"/>
                <w:sz w:val="26"/>
                <w:szCs w:val="26"/>
                <w:u w:val="single"/>
                <w:vertAlign w:val="superscript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OCP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0" w:lineRule="auto"/>
              <w:ind w:left="380" w:firstLine="0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Принцип открытости/закрытости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 (open–closed principle)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" w:lineRule="auto"/>
              <w:ind w:left="720" w:firstLine="0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«программные сущности … должны быть открыты для расширения, но закрыты для модификации».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left="760" w:firstLine="0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760" w:firstLine="0"/>
              <w:rPr>
                <w:color w:val="0b0080"/>
                <w:sz w:val="26"/>
                <w:szCs w:val="26"/>
                <w:u w:val="single"/>
                <w:vertAlign w:val="superscript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LSP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0" w:lineRule="auto"/>
              <w:ind w:left="760" w:firstLine="0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Принцип подстановки Лисков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 (Liskov substitution principle)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0" w:lineRule="auto"/>
              <w:ind w:left="720" w:firstLine="0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«объекты в программе должны быть заменяемыми на экземпляры их подтипов без изменения правильности выполнения программы». См. также </w:t>
            </w: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контрактное программирование</w:t>
            </w: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120" w:before="120" w:lineRule="auto"/>
              <w:ind w:left="1160" w:firstLine="0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Наследующий класс должен дополнять, а не изменять базовый.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1160" w:firstLine="0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1160" w:firstLine="0"/>
              <w:rPr>
                <w:color w:val="0b0080"/>
                <w:sz w:val="26"/>
                <w:szCs w:val="26"/>
                <w:u w:val="single"/>
                <w:vertAlign w:val="superscript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ISP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0" w:lineRule="auto"/>
              <w:ind w:left="1160" w:firstLine="0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Принцип разделения интерфейса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 (interface segregation principle)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0" w:lineRule="auto"/>
              <w:ind w:left="720" w:firstLine="0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«много интерфейсов, специально предназначенных для клиентов, лучше, чем один интерфейс общего назначения».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a2a9b1" w:space="0" w:sz="8" w:val="single"/>
              <w:bottom w:color="a2a9b1" w:space="0" w:sz="8" w:val="single"/>
              <w:right w:color="a2a9b1" w:space="0" w:sz="8" w:val="single"/>
            </w:tcBorders>
            <w:shd w:fill="eaecf0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left="1540" w:firstLine="0"/>
              <w:jc w:val="center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0" w:firstLine="0"/>
              <w:jc w:val="center"/>
              <w:rPr>
                <w:color w:val="0b0080"/>
                <w:sz w:val="26"/>
                <w:szCs w:val="26"/>
                <w:u w:val="single"/>
                <w:vertAlign w:val="superscript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DIP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2a9b1" w:space="0" w:sz="8" w:val="single"/>
              <w:right w:color="a2a9b1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0" w:lineRule="auto"/>
              <w:ind w:left="1540" w:firstLine="0"/>
              <w:rPr>
                <w:b w:val="1"/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Принцип инверсии зависимостей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rtl w:val="0"/>
              </w:rPr>
              <w:t xml:space="preserve"> (dependency inversion principle)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0" w:lineRule="auto"/>
              <w:ind w:left="720" w:firstLine="0"/>
              <w:rPr>
                <w:color w:val="202122"/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rtl w:val="0"/>
              </w:rPr>
              <w:t xml:space="preserve">«Зависимость на Абстракциях. Нет зависимости на что-то конкретное».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patterns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Абстрактная фабрика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Относится к порождающим паттернам проектирования.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Используется, когда нужно получить семейство объектов без привязки этих объектов к конкретному классу.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использования: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схема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унифицированного механизма создания gui.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253412</wp:posOffset>
            </wp:positionV>
            <wp:extent cx="5495925" cy="32099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00513" cy="2875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87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https://refactoring.guru/ru/design-patterns/abstract-factory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Адаптер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Относится к структурным паттернам проектирования.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создать обертку между несовместимыми интерфейсами, которая позволит им работать вместе.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Компоновщик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Относится к структурным паттернам проектирования.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компоновать объекты в древовидную структуру, а затем работать с этой структурой, как с единым объектом.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Декоратор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Относится к структурным паттернам проектирования.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Декоратор позволяет динамически добавлять объектам новую функциональность.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Фабричный метод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Относится к порождающим паттернам проектирования.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Определяет общий интерфейс для создания объектов в суперклассе, позволяя подклассам изменять тип создаваемых объектов.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https://refactoring.guru/ru/design-patterns/factory-method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Наблюдатель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Относится к поведенческим паттернам проектирования.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 механизм подписки, который позволяет одним объектам следить и реагировать на изменения в других объектах.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Стратегия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Относится к поведенческим паттернам проектирования.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Помещает схожие алгоритмы в отдельные классы после чего, их можно заменять во время runtime’а.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источнки: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Шаблонный метод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Относится к поведенческим паттернам проектирования.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Определяет скелет алгоритма, перекладывая ответственность за некоторые его шаги на подклассы. Паттерн позволяет подклассам переопределять шаги алгоритма, не меняя его общей структуры.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источнки: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https://refactoring.guru/ru/design-patterns/template-method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GRASP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SOLID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Шаблоны проектирования: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абстрактная фабрика;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адаптер;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компоновщик; 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декоратор;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фабричный метод;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наблюдатель;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7"/>
        </w:numPr>
        <w:spacing w:after="0" w:afterAutospacing="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стратегия;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7"/>
        </w:numPr>
        <w:spacing w:after="320" w:line="360" w:lineRule="auto"/>
        <w:ind w:left="23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шаблонный метод.</w:t>
      </w:r>
    </w:p>
    <w:p w:rsidR="00000000" w:rsidDel="00000000" w:rsidP="00000000" w:rsidRDefault="00000000" w:rsidRPr="00000000" w14:paraId="00000061">
      <w:pPr>
        <w:pageBreakBefore w:val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При описании шаблонов рекомендуется придерживаться следующей структуры: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К какой категории шаблонов относится.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В каких случаях используется.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Ошибки при использовании.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Как графически представляется (схема).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Формулировка задачи, при решении которой может быть использован.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Решение задачи. Разбор кода решения.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shd w:fill="ffffff" w:val="clear"/>
        <w:spacing w:after="320" w:line="360" w:lineRule="auto"/>
        <w:ind w:left="1280" w:hanging="360"/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Постановка отдельной задачи для практики использования этого паттерна.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factoring.guru/ru/design-patterns/decorator" TargetMode="External"/><Relationship Id="rId10" Type="http://schemas.openxmlformats.org/officeDocument/2006/relationships/hyperlink" Target="https://refactoring.guru/ru/design-patterns/composite" TargetMode="External"/><Relationship Id="rId13" Type="http://schemas.openxmlformats.org/officeDocument/2006/relationships/hyperlink" Target="https://refactoring.guru/ru/design-patterns/observer" TargetMode="External"/><Relationship Id="rId12" Type="http://schemas.openxmlformats.org/officeDocument/2006/relationships/hyperlink" Target="https://refactoring.guru/ru/design-patterns/factory-meth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factoring.guru/ru/design-patterns/adapter" TargetMode="External"/><Relationship Id="rId15" Type="http://schemas.openxmlformats.org/officeDocument/2006/relationships/hyperlink" Target="https://refactoring.guru/ru/design-patterns/template-method" TargetMode="External"/><Relationship Id="rId14" Type="http://schemas.openxmlformats.org/officeDocument/2006/relationships/hyperlink" Target="https://refactoring.guru/ru/design-patterns/strategy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factoring.guru/ru/design-patterns/abstract-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