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Программа SpecApp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Авторы: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Гуртуева Ирина Асланбековна, Бжихатлов Кантемир Чамалович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Правообладатели: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Федеральное государственное бюджетное научное учреждение «Федеральный научный центр «КАБАРДИНО-БАЛКАРСКИЙ НАУЧНЫЙ ЦЕНТР РОССИЙСКОЙ АКАДЕМИИ НАУК» (КБНЦ РАН)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ПрЭВМ «SpecApp» предназначен для спектрального анализа содержимого аудио файла, либо звукового потока, получаемого с микрофона персонального компьютера. ПрЭВМ может использоваться как самостоятельный инструмент для анализа фундаментальных составляющих реальных звуковых сигналов, а также интегрироваться в существующие системы обработки звуковых сообщений. Отдельные блоки спроектированы для вычисления дискретного и кратковременного преобразований Фурье, выделения пиковых значений звукового сигнала, определения частоты основного тона, вычисления гармоник, вычисления обратного преобразования Фурье и синтеза анализируемого сигнала. ПрЭВМ может применяться в научных исследованиях, посвященных разработке систем искусственного интеллекта, в частности, систем распознавания речи.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Программа Программный модуль «Аукционный робот»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Язык программирования: </w:t>
      </w: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Кордыш Феликс Семенович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Правообладатели: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Общество с ограниченной ответственностью «Автоматизированная система торгов государственного оборонного заказа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Функциональное назначение программы - автоматизированная подача ценовых предложений при проведении торгов на электронной торговой площадке без непосредственного участия пользователя, в соответствии с параметрами, заданными пользователем (лимит снижения, шаг). После подачи заявки на процедуру участник торгов получает возможность включения аукционного робота и задания его настроек. Все операции по активации, настройке и отключению робота выполняются системой на основании электронных документов, подписанных электронной подписью Участника. Во время торговой сессии робот автоматически формирует ценовые предложения с учетом текущего состояния торгов и заданных настроек. Наличие активного аукционного робота не ограничивает возможности внесения ставки вручную.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 Программа определения температурных полей корпуса космического аппарата и блока радиоэлектронной аппаратуры при действии прямого солнечного излучения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Язык программирования: </w:t>
      </w: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Авторы: </w:t>
      </w:r>
      <w:r w:rsidDel="00000000" w:rsidR="00000000" w:rsidRPr="00000000">
        <w:rPr>
          <w:rtl w:val="0"/>
        </w:rPr>
        <w:t xml:space="preserve">Иванов Сергей Сергеевич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Правообладатели: </w:t>
      </w:r>
      <w:r w:rsidDel="00000000" w:rsidR="00000000" w:rsidRPr="00000000">
        <w:rPr>
          <w:rtl w:val="0"/>
        </w:rPr>
        <w:t xml:space="preserve">Иванов Сергей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Программа предназначена для определения температурных полей корпуса космического аппарата при действии прямого солнечного излучения с учетом лучистого теплообмена его внутренней поверхности с корпусом радиоэлектронной аппаратуры. Исходными данными являются – начальная температура материала корпуса космического аппарата и блока радиоэлектронной аппаратуры, значения плотности, коэффициенты теплопроводности, температуропроводности, черноты, поглощения материалов, из которых выполнены данные элементы, температура безвоздушной прослойки за корпусом космического аппарата и за блоком радиоэлектронной аппаратуры, толщина данных элементов, время действия прямого солнечного излучения, количество пространственных узлов. Распространение температуры описывается уравнением Фурье-Киргофа с граничными условиями второго и третьего рода. Вычисление производится методом прогонки по неявной конечно-разностной схеме. Вывод информации реализован в виде построения графика при помощи компонента chart среды программирования Microsoft Visual Studio 2015. Программа может быть использована при проектировании теплозащиты корпуса или системы обеспечения теплового режима космического аппарата. Тип ЭВМ: IBM PC-совмест. ПК; ОС: Windows 7.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 Программа расчета и контроля параметров посадки, остойчивости и прочности судна - РИК «ЗАГРУЗКА»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Язык программирования: </w:t>
      </w: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Авторы: </w:t>
      </w:r>
      <w:r w:rsidDel="00000000" w:rsidR="00000000" w:rsidRPr="00000000">
        <w:rPr>
          <w:rtl w:val="0"/>
        </w:rPr>
        <w:t xml:space="preserve">Огай Алексей Сергеевич, Огай Сергей Алексеевич, Петров Владимир Алексеевич, Азовцев Анатолий Иванович.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Правообладатели: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Общество с ограниченной ответственностью "Моркомтех"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Программа предназначена для расчета и контроля мореходных качеств судна (плавучесть, остойчивость, прочность). Функциональные возможности: при вводе количества груза и судовых запасов программа производит расчет параметров посадки, остойчивости и прочности, сравнивая их с допустимыми значениями, выдавая интегральную оценку о состоянии мореходных качеств. Программа может использоваться на судах и в судоходных компаниях. Тип ЭВМ: IBM PC-совмест. ПК; ОС: Windows XP/7/8/10.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