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слайд 2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Отец, Петр Николаевич (1902—1939) — Окончил </w:t>
      </w:r>
      <w:hyperlink r:id="rId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рабфак</w:t>
        </w:r>
      </w:hyperlink>
      <w:r w:rsidDel="00000000" w:rsidR="00000000" w:rsidRPr="00000000">
        <w:rPr>
          <w:color w:val="202122"/>
          <w:sz w:val="21"/>
          <w:szCs w:val="21"/>
          <w:rtl w:val="0"/>
        </w:rPr>
        <w:t xml:space="preserve">, в 1930 году — Днепропетровский химический институт. Участвовал в строительстве Днепродзержинского коксохимического завода, на котором потом работал начальником техотдела.</w:t>
      </w:r>
    </w:p>
    <w:p w:rsidR="00000000" w:rsidDel="00000000" w:rsidP="00000000" w:rsidRDefault="00000000" w:rsidRPr="00000000" w14:paraId="00000003">
      <w:pPr>
        <w:widowControl w:val="0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Мать, Мария Дмитриевна (ур. Чистякова), — заведовала детским садом при заводе.</w:t>
      </w:r>
    </w:p>
    <w:p w:rsidR="00000000" w:rsidDel="00000000" w:rsidP="00000000" w:rsidRDefault="00000000" w:rsidRPr="00000000" w14:paraId="00000004">
      <w:pPr>
        <w:widowControl w:val="0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Николай был старшим из 3 братьев.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Кстати в этом же городе родился </w:t>
      </w:r>
      <w:hyperlink r:id="rId7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Л. И. Брежнев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советский государственный и партийный деятель, </w:t>
      </w:r>
      <w:hyperlink r:id="rId8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генеральный секретарь ЦК КПСС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слайд 3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 феврале 1943 года он был призван в армию,  где его послали на курсы радистов в Свердловске. Через полгода Брусенцов был направлен в 154-ю стрелковую дивизию, где  стал радистом в отделении разведки 2-го дивизиона 571-го артиллерийского полка. За свои боевые заслуги он был награждён медалью «За Отвагу» и Орденом Красной Звезды.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слайд 4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После демобилизации,  вернувшись в Днепродзержинск, Николай Брусенцов с отличием закончил десятый класс школы рабочей молодежи в г. Калинине (ныне переименованный в  Тверь), а затем отправился работать на заводе.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слайд 5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1948 году поступил на радиотехнический факультет Московского энергетического института.  В институте он учился вместе с будущим известным ученым в области  вычислительной техники  М. А. Карцевым. На последнем курсе МЭИ</w:t>
      </w:r>
      <w:r w:rsidDel="00000000" w:rsidR="00000000" w:rsidRPr="00000000">
        <w:rPr>
          <w:sz w:val="24"/>
          <w:szCs w:val="24"/>
          <w:rtl w:val="0"/>
        </w:rPr>
        <w:t xml:space="preserve"> Брусенцов в качестве дипломного проекта составил таблицы дифракции на эллиптическом цилиндре, которые сегодня известны как таблицы Брусенцова.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слайд 6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После окончания института в 1953 году был направлен на работу в СКВ МГУ.Работа Николая Петровича началась с разработки новой универсальной машины основанной на магнитных элементах. Магнитные элементы эффективно позволяют работать с троичной логикой. Так появилась первая в мире ЭВМ основанная на троичной логике.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слайд 7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До своей смерти в 2014 году Николай Петрович Брусенцов заведовал лабораторией ЭВМ факультета вычислительной математики и кибернетики Московского государственного университета им. М.В.Ломоносова. Основными направлениями его научной деятельности являлись архитектура цифровых машин, автоматизированные системы обучения, системы программирования для мини- и микрокомпьютеров. Николай Петрович был научным руководителем тем, связанных с созданием микрокомпьютерных обучающих систем и систем программирования. Им было опубликовано более 100 научных работ, в том числе монографии «Малая цифровая вычислительная машина «Сетунь»» (1965 г.), «Миникомпьютеры» (1979 г.), «Микрокомпьютеры» (1985 г.), учебное пособие «Базисный фортран» (1982 г.).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слайд 8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1958 году сотрудники лаборатории Брусенцова (к этому времени их набралось почти 20 человек) своими руками изготовили первый образец машины. На десятый день наладки машина заработала. Машину назвали «Сетунь»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по имени речки неподалеку от Московского университета. Своей простотой и практичностью «Сетунь» была обязана представлению чисел и команд в симметричном троичном коде — (— 1, 0, 1). По существу, у университетских разработчиков получился первый RISC-компьютер. Длина машинного слова «Сетунь» составляла 9 тритов, всего 24 команды. Особенностью машины была страничная двухуровневая организация памяти. Магнитный барабан, аналогичный барабану ЭВМ «Урал», был связан с быстрой оперативной памятью постраничным обменом. Это способствовало повышению производительности машины, составлявшей 4500 операций в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слайд 9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Сетунь была первым действующим образцом универсальной вычислительной машины на безламповых элементах, которому свойственны высокая производительность, достаточная надежность, малые габариты и простота технического обслуживания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Вскоре было принято решение о серийном производстве «Сетуни» на Казанском заводе математических машин, который в результате выпустил 46 ЭВМ «Сетунь». 30 из них работали в высших учебных заведениях СССР. На «Сетуни» решались задачи математического моделирования в физике и химии, задачи оптимизации управления производством, краткосрочных прогнозов погоды, конструкторских расчетов, компьютерного обучения, обработки экспериментальных данных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слайд 10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В 1961-1968 годах Н.П. Брусенцов совместно с другим инженером Е.А. Жоголевым  разработал более совершенную машину, впоследствии названную «Сетунь-70». Это была машина нетрадиционной двухстековой архитектуры, такая организация позволяла эффективно работать интерпритирующим системам. Действующий образец прошел испытания в апреле 1970 года. Но, к сожалению, после завершения работ по проектированию, монтажу и наладке «Сетуни-70» лаборатория Брусенцова была вынуждена по решению руководства университета прекратить дальнейшие разработки. Было произведена только одна машина . «Сетунь-70» использовали в одном из проектов Николая петровича - в системе компьютерного обучения «Наставник».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0%D0%B0%D0%B1%D0%BE%D1%87%D0%B8%D0%B9_%D1%84%D0%B0%D0%BA%D1%83%D0%BB%D1%8C%D1%82%D0%B5%D1%82" TargetMode="External"/><Relationship Id="rId7" Type="http://schemas.openxmlformats.org/officeDocument/2006/relationships/hyperlink" Target="https://ru.wikipedia.org/wiki/%D0%91%D1%80%D0%B5%D0%B6%D0%BD%D0%B5%D0%B2,_%D0%9B%D0%B5%D0%BE%D0%BD%D0%B8%D0%B4_%D0%98%D0%BB%D1%8C%D0%B8%D1%87" TargetMode="External"/><Relationship Id="rId8" Type="http://schemas.openxmlformats.org/officeDocument/2006/relationships/hyperlink" Target="https://ru.wikipedia.org/wiki/%D0%93%D0%B5%D0%BD%D0%B5%D1%80%D0%B0%D0%BB%D1%8C%D0%BD%D1%8B%D0%B9_%D1%81%D0%B5%D0%BA%D1%80%D0%B5%D1%82%D0%B0%D1%80%D1%8C_%D0%A6%D0%9A_%D0%9A%D0%9F%D0%A1%D0%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