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Матрица Эйзенхауэра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Важно и срочно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Выполнить задания по “Социальные и профессиональные вопросы информатики и ИТ”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Дописать текст выпускной работы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Важно, но не срочно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Подготовить презентацию к дипломной работе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Подготовится к экзаменам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Неважно, но срочно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Постирать и высушить одежду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Приготовить на завтра еду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Неважно, не срочно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Прочитать заготовленные книги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Пройти заготовленные курсы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