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Навыки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Что характеризует</w:t>
            </w:r>
          </w:p>
        </w:tc>
      </w:tr>
      <w:tr>
        <w:trPr>
          <w:cantSplit w:val="0"/>
          <w:trHeight w:val="96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Базовые коммуникации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уметь понимать цели каждой коммуникации (и свою, и собеседника)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Внимательно и с интересом относитесь к собеседнику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уметь структурировать  предоставляемую информацию от общего к частному, от проблемы к решению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опираться в общении на свои интересы и интересы собеседника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адаптировать стиль общения под уровень собеседника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во время общения удерживать зрительный контакт с собеседником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заинтересовывать собеседников и вовлекать в обсуждение предлагаемой темы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строить беседу по принципу диалога: задавать вопросы, слушать собеседника, комментировать.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эффективно применять приемы активного слушания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четко и по делу формулировать ответы на вопросы собеседников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убеждения и аргументации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·   </w:t>
              <w:tab/>
              <w:t xml:space="preserve">иметь представление о теме обсуждения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быть вежливым, проявлять заинтересованность в доводах других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обладать авторитетом среди собеседников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уметь составлять логические цепочки из своих доводов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способность объяснить преимущества своего предложения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работы с информацией и принятия решений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·   </w:t>
              <w:tab/>
              <w:t xml:space="preserve">обладать широким кругозором или сформировать его при обработке информации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уметь воспринимать и анализировать информацию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осознавать степень ответственности за принимаемые решения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наличие упорства и терпения при работе с потоками данных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публичных выступлений и презентаций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·   </w:t>
              <w:tab/>
              <w:t xml:space="preserve">адаптировать стиль общения под уровень аудитории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владеть речевыми навыками, тренировать если их нет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понимать пользу, которую несет излагаемый материал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находиться в  контакте с аудиторией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заинтересовывать собеседников и вовлекать в обсуждение предлагаемой темы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разбираться в теме, возможность ответить на вопросы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проектного мышления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обладать опытом ведения проектов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наличие ответственности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уметь договариваться с окружающими людьми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продвигать идеи на обсуждение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развивать логическое и структурное мышление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·   </w:t>
              <w:tab/>
              <w:t xml:space="preserve">проявлять активность в командной работе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