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 состава ЭИОС кафедры.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Курс по инженерной и компьютерной графике id 4260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Состав: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с преподавателем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Чекинатор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Учебные материалы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Лабораторные работы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Практические работы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Инвариантные самостоятельные работы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Вариативные самостоятельные работы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Курс структурирован по темам начиная с фундаментальных знаний по математике и компьютерной графике, заканчивая графическими анимациями полигональных моделей. Хорошей особенностью курса является многообразие и обширность тем. В курсе присутствуют дополнительные работы для приобретения навыков в темах не связанных с компьютерной графикой напрямую, например, практические задания по языку c++, или адаптация приложения под VR шлем.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Физическая культура и спорт электив id 7097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Состав: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Вводный материал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Теория об упражнениях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со спортивным инвентарем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Видеоуроки по разделам курса от университета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Практические занятия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Контрольный норматив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Проверочные тесты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Курс разделен на разные секции относящиеся к определенной теме. В каждой теме присутствует теоретический материал, набор самостоятельных работ и итоговая работа завершающая прохождение секции. Каждая самостоятельная работа сопровождается дополнительным теоретическим материалом с рекомендациями по выполнению работы.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Необычным курс делает его разделение на секции. Эти секции автономны и являются мини подкурсами основного курса. Такой подход позволяет выбрать студенту тот материал, с которого будет интересно начать изучение.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Электротехника, электроника и схемотехника id 6438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Состав: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Объявления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лабораторных работ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вопросов для зачета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занятиях по zoom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Учебный материал разбитый по темам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хранилище для сдачи лабораторных работ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Курс предоставляет набор информации разбитой по темам и общие лабораторные работы необходимые для закрытия предмета. Структура курса служит дополнением к лекционному материалу. А также средством придоставления выполненных лабораторных работ.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Представление и публикация информации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3793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Состав: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Введение, описывающее назначение курса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преподавателе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дистанционное занятие в zoom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Актуальная информация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лекций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конспектов лекций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Лабораторные работы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Инвариантные самостоятельные работы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Вариативные самостоятельные работы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Информация о проведении зачета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Информация об аттестации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Курс ориентирован на выполнение работ посвященных лекционному материалу. Всего в курсе 4 темы, каждая тема содержит набор из лабораторных и самостоятельных работ. Курс интересен тем что лекционный материал вынесен за рамки тем, а основной упор делается на заданиях. Также в курсе достаточно средств контроля работы студентов, в том числе и проверка записей лекций. Не смотря на объем информации в курсе, благодаря своей структуре, курсом удобно пользоваться.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