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Самостоятельная работа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Облако тегов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480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План проведения вебинара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Тема вебинара создание мобильного приложения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 Подготовка аудитории: обозначение темы и цели вебинара.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Рассказ о себе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Рассказ о том почему эта тема может быть интересна аудитории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Цель вебинара подготовить аудиторию, выдав базовые знания о разработке мобильного приложения, на примере постепенного создания этого приложения.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Демонстрация презентационного материала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Выделение самых важных концепций темы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Подготовка красочной презентации с материалом лекции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списка интерактивных вопросов “на подумать” для сохранения внимания аудитории к презентации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Общение с аудиторией на предмет дополнительных вопросов к представленному материалу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Короткое задание для заинтересованной аудитории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Задание должно включать пройденный материал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Задание должно быть коротким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Задание может включать не затронутые темы, чтобы заинтересовать человека искать информацию для решения самому.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5. Получение обратной связи от аудитории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6. Предоставление полезных дополнительных материалов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Советы начинающим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полезной литературы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