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20"/>
      </w:pPr>
      <w:r>
        <w:rPr>
          <w:rFonts w:ascii="Calibri" w:cs="Calibri" w:eastAsia="Calibri" w:hAnsi="Calibri"/>
          <w:b/>
          <w:bCs/>
          <w:color w:val="0B1D33"/>
          <w:sz w:val="34"/>
          <w:szCs w:val="34"/>
        </w:rPr>
        <w:t xml:space="preserve">CONTRAT DE SERVICE</w:t>
      </w:r>
    </w:p>
    <w:p>
      <w:pPr>
        <w:spacing w:after="120" w:line="264"/>
      </w:pPr>
      <w:r>
        <w:rPr>
          <w:rFonts w:ascii="Calibri" w:cs="Calibri" w:eastAsia="Calibri" w:hAnsi="Calibri"/>
          <w:i/>
          <w:iCs/>
          <w:color w:val="64748B"/>
          <w:sz w:val="22"/>
          <w:szCs w:val="22"/>
        </w:rPr>
        <w:t xml:space="preserve">Assistant IA « Sarah » : qualification et suivi de contacts entrants</w:t>
      </w:r>
    </w:p>
    <w:p>
      <w:pPr>
        <w:pBdr>
          <w:bottom w:val="single" w:color="CBD5E1" w:sz="6"/>
        </w:pBdr>
        <w:spacing w:after="120" w:before="60"/>
      </w:pPr>
      <w:r>
        <w:rPr>
          <w:rFonts w:ascii="Calibri" w:cs="Calibri" w:eastAsia="Calibri" w:hAnsi="Calibri"/>
          <w:color w:val="0A0A0A"/>
          <w:sz w:val="21"/>
          <w:szCs w:val="21"/>
        </w:rPr>
        <w:t xml:space="preserve"/>
      </w:r>
    </w:p>
    <w:p>
      <w:pPr>
        <w:spacing w:after="120" w:line="264"/>
      </w:pPr>
      <w:r>
        <w:rPr>
          <w:rFonts w:ascii="Calibri" w:cs="Calibri" w:eastAsia="Calibri" w:hAnsi="Calibri"/>
          <w:b/>
          <w:bCs/>
          <w:color w:val="0B1D33"/>
          <w:sz w:val="21"/>
          <w:szCs w:val="21"/>
        </w:rPr>
        <w:t xml:space="preserve">ENTRE LES SOUSSIGNÉS</w:t>
      </w:r>
    </w:p>
    <w:p>
      <w:pPr>
        <w:spacing w:after="120" w:line="264"/>
      </w:pPr>
      <w:r>
        <w:rPr>
          <w:rFonts w:ascii="Calibri" w:cs="Calibri" w:eastAsia="Calibri" w:hAnsi="Calibri"/>
          <w:b/>
          <w:bCs/>
          <w:color w:val="0B1D33"/>
          <w:sz w:val="21"/>
          <w:szCs w:val="21"/>
        </w:rPr>
        <w:t xml:space="preserve">Le Prestataire</w:t>
      </w:r>
    </w:p>
    <w:p>
      <w:pPr>
        <w:spacing w:after="120" w:line="264"/>
      </w:pPr>
      <w:r>
        <w:rPr>
          <w:rFonts w:ascii="Calibri" w:cs="Calibri" w:eastAsia="Calibri" w:hAnsi="Calibri"/>
          <w:color w:val="0A0A0A"/>
          <w:sz w:val="21"/>
          <w:szCs w:val="21"/>
        </w:rPr>
        <w:t xml:space="preserve">Girlden LTD, société de droit anglais (Private Limited Company). Numéro d’immatriculation (CRN) : 14837617.</w:t>
      </w:r>
    </w:p>
    <w:p>
      <w:pPr>
        <w:spacing w:after="120" w:line="264"/>
      </w:pPr>
      <w:r>
        <w:rPr>
          <w:rFonts w:ascii="Calibri" w:cs="Calibri" w:eastAsia="Calibri" w:hAnsi="Calibri"/>
          <w:color w:val="0A0A0A"/>
          <w:sz w:val="21"/>
          <w:szCs w:val="21"/>
        </w:rPr>
        <w:t xml:space="preserve">Siège social : 71-75 Shelton Street, Covent Garden, London, WC2H 9JQ, Royaume-Uni.</w:t>
      </w:r>
    </w:p>
    <w:p>
      <w:pPr>
        <w:spacing w:after="120" w:line="264"/>
      </w:pPr>
      <w:r>
        <w:rPr>
          <w:rFonts w:ascii="Calibri" w:cs="Calibri" w:eastAsia="Calibri" w:hAnsi="Calibri"/>
          <w:color w:val="0A0A0A"/>
          <w:sz w:val="21"/>
          <w:szCs w:val="21"/>
        </w:rPr>
        <w:t xml:space="preserve">Exerçant sous la marque GILD-TECH. Ci-après « le Prestataire ».</w:t>
      </w:r>
    </w:p>
    <w:p>
      <w:pPr>
        <w:spacing w:after="60" w:before="120"/>
      </w:pPr>
      <w:r>
        <w:rPr>
          <w:rFonts w:ascii="Calibri" w:cs="Calibri" w:eastAsia="Calibri" w:hAnsi="Calibri"/>
          <w:b/>
          <w:bCs/>
          <w:color w:val="0A0A0A"/>
          <w:sz w:val="21"/>
          <w:szCs w:val="21"/>
        </w:rPr>
        <w:t xml:space="preserve">Le Client</w:t>
      </w:r>
    </w:p>
    <w:p>
      <w:pPr>
        <w:spacing w:after="120" w:line="264"/>
      </w:pPr>
      <w:r>
        <w:rPr>
          <w:rFonts w:ascii="Calibri" w:cs="Calibri" w:eastAsia="Calibri" w:hAnsi="Calibri"/>
          <w:b/>
          <w:bCs/>
          <w:color w:val="0A0A0A"/>
          <w:sz w:val="21"/>
          <w:szCs w:val="21"/>
        </w:rPr>
        <w:t xml:space="preserve">Raison sociale : </w:t>
      </w:r>
      <w:r>
        <w:rPr>
          <w:rFonts w:ascii="Calibri" w:cs="Calibri" w:eastAsia="Calibri" w:hAnsi="Calibri"/>
          <w:b/>
          <w:bCs/>
          <w:color w:val="2563EB"/>
          <w:sz w:val="21"/>
          <w:szCs w:val="21"/>
        </w:rPr>
        <w:t xml:space="preserve">[Raison sociale du client]</w:t>
      </w:r>
    </w:p>
    <w:p>
      <w:pPr>
        <w:spacing w:after="120" w:line="264"/>
      </w:pPr>
      <w:r>
        <w:rPr>
          <w:rFonts w:ascii="Calibri" w:cs="Calibri" w:eastAsia="Calibri" w:hAnsi="Calibri"/>
          <w:b/>
          <w:bCs/>
          <w:color w:val="0A0A0A"/>
          <w:sz w:val="21"/>
          <w:szCs w:val="21"/>
        </w:rPr>
        <w:t xml:space="preserve">Forme / immatriculation : </w:t>
      </w:r>
      <w:r>
        <w:rPr>
          <w:rFonts w:ascii="Calibri" w:cs="Calibri" w:eastAsia="Calibri" w:hAnsi="Calibri"/>
          <w:b/>
          <w:bCs/>
          <w:color w:val="2563EB"/>
          <w:sz w:val="21"/>
          <w:szCs w:val="21"/>
        </w:rPr>
        <w:t xml:space="preserve">[Forme juridique / n° d’immatriculation]</w:t>
      </w:r>
    </w:p>
    <w:p>
      <w:pPr>
        <w:spacing w:after="120" w:line="264"/>
      </w:pPr>
      <w:r>
        <w:rPr>
          <w:rFonts w:ascii="Calibri" w:cs="Calibri" w:eastAsia="Calibri" w:hAnsi="Calibri"/>
          <w:b/>
          <w:bCs/>
          <w:color w:val="0A0A0A"/>
          <w:sz w:val="21"/>
          <w:szCs w:val="21"/>
        </w:rPr>
        <w:t xml:space="preserve">Adresse : </w:t>
      </w:r>
      <w:r>
        <w:rPr>
          <w:rFonts w:ascii="Calibri" w:cs="Calibri" w:eastAsia="Calibri" w:hAnsi="Calibri"/>
          <w:b/>
          <w:bCs/>
          <w:color w:val="2563EB"/>
          <w:sz w:val="21"/>
          <w:szCs w:val="21"/>
        </w:rPr>
        <w:t xml:space="preserve">[Adresse du client]</w:t>
      </w:r>
    </w:p>
    <w:p>
      <w:pPr>
        <w:spacing w:after="120" w:line="264"/>
      </w:pPr>
      <w:r>
        <w:rPr>
          <w:rFonts w:ascii="Calibri" w:cs="Calibri" w:eastAsia="Calibri" w:hAnsi="Calibri"/>
          <w:b/>
          <w:bCs/>
          <w:color w:val="0A0A0A"/>
          <w:sz w:val="21"/>
          <w:szCs w:val="21"/>
        </w:rPr>
        <w:t xml:space="preserve">Représenté par : </w:t>
      </w:r>
      <w:r>
        <w:rPr>
          <w:rFonts w:ascii="Calibri" w:cs="Calibri" w:eastAsia="Calibri" w:hAnsi="Calibri"/>
          <w:b/>
          <w:bCs/>
          <w:color w:val="2563EB"/>
          <w:sz w:val="21"/>
          <w:szCs w:val="21"/>
        </w:rPr>
        <w:t xml:space="preserve">[Nom du représentant]  (qualité : [Qualité])</w:t>
      </w:r>
    </w:p>
    <w:p>
      <w:pPr>
        <w:spacing w:after="120" w:line="264"/>
      </w:pPr>
      <w:r>
        <w:rPr>
          <w:rFonts w:ascii="Calibri" w:cs="Calibri" w:eastAsia="Calibri" w:hAnsi="Calibri"/>
          <w:b/>
          <w:bCs/>
          <w:color w:val="0A0A0A"/>
          <w:sz w:val="21"/>
          <w:szCs w:val="21"/>
        </w:rPr>
        <w:t xml:space="preserve">Email / Téléphone : </w:t>
      </w:r>
      <w:r>
        <w:rPr>
          <w:rFonts w:ascii="Calibri" w:cs="Calibri" w:eastAsia="Calibri" w:hAnsi="Calibri"/>
          <w:b/>
          <w:bCs/>
          <w:color w:val="2563EB"/>
          <w:sz w:val="21"/>
          <w:szCs w:val="21"/>
        </w:rPr>
        <w:t xml:space="preserve">[Email]  /  [Téléphone]</w:t>
      </w:r>
    </w:p>
    <w:p>
      <w:pPr>
        <w:spacing w:after="120" w:line="264"/>
      </w:pPr>
      <w:r>
        <w:rPr>
          <w:rFonts w:ascii="Calibri" w:cs="Calibri" w:eastAsia="Calibri" w:hAnsi="Calibri"/>
          <w:color w:val="0A0A0A"/>
          <w:sz w:val="21"/>
          <w:szCs w:val="21"/>
        </w:rPr>
        <w:t xml:space="preserve">Ci-après « le Client ». Ensemble désignés « les Parties ».</w:t>
      </w:r>
    </w:p>
    <w:p>
      <w:pPr>
        <w:pBdr>
          <w:bottom w:val="single" w:color="CBD5E1" w:sz="6"/>
        </w:pBdr>
        <w:spacing w:after="120" w:before="60"/>
      </w:pPr>
      <w:r>
        <w:rPr>
          <w:rFonts w:ascii="Calibri" w:cs="Calibri" w:eastAsia="Calibri" w:hAnsi="Calibri"/>
          <w:color w:val="0A0A0A"/>
          <w:sz w:val="21"/>
          <w:szCs w:val="21"/>
        </w:rPr>
        <w:t xml:space="preserve"/>
      </w:r>
    </w:p>
    <w:p>
      <w:pPr>
        <w:pStyle w:val="Heading1"/>
        <w:spacing w:after="110" w:before="240"/>
      </w:pPr>
      <w:r>
        <w:rPr>
          <w:rFonts w:ascii="Calibri" w:cs="Calibri" w:eastAsia="Calibri" w:hAnsi="Calibri"/>
          <w:b/>
          <w:bCs/>
          <w:color w:val="0B1D33"/>
          <w:sz w:val="26"/>
          <w:szCs w:val="26"/>
        </w:rPr>
        <w:t xml:space="preserve">1. Objet du contrat</w:t>
      </w:r>
    </w:p>
    <w:p>
      <w:pPr>
        <w:spacing w:after="120" w:line="264"/>
      </w:pPr>
      <w:r>
        <w:rPr>
          <w:rFonts w:ascii="Calibri" w:cs="Calibri" w:eastAsia="Calibri" w:hAnsi="Calibri"/>
          <w:color w:val="0A0A0A"/>
          <w:sz w:val="21"/>
          <w:szCs w:val="21"/>
        </w:rPr>
        <w:t xml:space="preserve">Le Prestataire met à la disposition du Client « Sarah », un assistant conversationnel automatisé qui répond aux contacts entrants du Client sur WhatsApp, les qualifie (type de bien, zone, budget, échéance) et organise le suivi vers les négociateurs du Client.</w:t>
      </w:r>
    </w:p>
    <w:p>
      <w:pPr>
        <w:spacing w:after="120" w:line="264"/>
      </w:pPr>
      <w:r>
        <w:rPr>
          <w:rFonts w:ascii="Calibri" w:cs="Calibri" w:eastAsia="Calibri" w:hAnsi="Calibri"/>
          <w:b/>
          <w:bCs/>
          <w:color w:val="0A0A0A"/>
          <w:sz w:val="21"/>
          <w:szCs w:val="21"/>
        </w:rPr>
        <w:t xml:space="preserve">Offre souscrite : </w:t>
      </w:r>
      <w:r>
        <w:rPr>
          <w:rFonts w:ascii="Calibri" w:cs="Calibri" w:eastAsia="Calibri" w:hAnsi="Calibri"/>
          <w:b/>
          <w:bCs/>
          <w:color w:val="2563EB"/>
          <w:sz w:val="21"/>
          <w:szCs w:val="21"/>
        </w:rPr>
        <w:t xml:space="preserve">[Offre : RESPOND / CONVERT / DOMINATE]</w:t>
      </w:r>
    </w:p>
    <w:p>
      <w:pPr>
        <w:spacing w:after="120" w:line="264"/>
      </w:pPr>
      <w:r>
        <w:rPr>
          <w:rFonts w:ascii="Calibri" w:cs="Calibri" w:eastAsia="Calibri" w:hAnsi="Calibri"/>
          <w:i/>
          <w:iCs/>
          <w:color w:val="64748B"/>
          <w:sz w:val="19"/>
          <w:szCs w:val="19"/>
        </w:rPr>
        <w:t xml:space="preserve">RESPOND (palier Capter), CONVERT (palier Convertir), DOMINATE (palier Développer, périmètre défini en annexe). Le périmètre de l’offre retenue est décrit à l’article 2.</w:t>
      </w:r>
    </w:p>
    <w:p>
      <w:pPr>
        <w:pStyle w:val="Heading1"/>
        <w:spacing w:after="110" w:before="240"/>
      </w:pPr>
      <w:r>
        <w:rPr>
          <w:rFonts w:ascii="Calibri" w:cs="Calibri" w:eastAsia="Calibri" w:hAnsi="Calibri"/>
          <w:b/>
          <w:bCs/>
          <w:color w:val="0B1D33"/>
          <w:sz w:val="26"/>
          <w:szCs w:val="26"/>
        </w:rPr>
        <w:t xml:space="preserve">2. Périmètre de la prestation</w:t>
      </w:r>
    </w:p>
    <w:p>
      <w:pPr>
        <w:spacing w:after="120" w:line="264"/>
      </w:pPr>
      <w:r>
        <w:rPr>
          <w:rFonts w:ascii="Calibri" w:cs="Calibri" w:eastAsia="Calibri" w:hAnsi="Calibri"/>
          <w:color w:val="0A0A0A"/>
          <w:sz w:val="21"/>
          <w:szCs w:val="21"/>
        </w:rPr>
        <w:t xml:space="preserve">Le Prestataire s’engage sur ce qui est décrit ci-dessous, et uniquement sur cela. Toute fonctionnalité non listée est hors périmètre.</w:t>
      </w:r>
    </w:p>
    <w:p>
      <w:pPr>
        <w:spacing w:after="120" w:line="264"/>
      </w:pPr>
      <w:r>
        <w:rPr>
          <w:rFonts w:ascii="Calibri" w:cs="Calibri" w:eastAsia="Calibri" w:hAnsi="Calibri"/>
          <w:b/>
          <w:bCs/>
          <w:color w:val="0B1D33"/>
          <w:sz w:val="21"/>
          <w:szCs w:val="21"/>
        </w:rPr>
        <w:t xml:space="preserve">2.1  RESPOND : inclus et actif dès la mise en service</w:t>
      </w:r>
    </w:p>
    <w:p>
      <w:pPr>
        <w:pStyle w:val="ListParagraph"/>
        <w:numPr>
          <w:ilvl w:val="0"/>
          <w:numId w:val="2"/>
        </w:numPr>
        <w:spacing w:after="88" w:line="264"/>
      </w:pPr>
      <w:r>
        <w:rPr>
          <w:rFonts w:ascii="Calibri" w:cs="Calibri" w:eastAsia="Calibri" w:hAnsi="Calibri"/>
          <w:color w:val="0A0A0A"/>
          <w:sz w:val="21"/>
          <w:szCs w:val="21"/>
        </w:rPr>
        <w:t xml:space="preserve">Réponse automatique aux contacts entrants sur WhatsApp, 24h/24 et 7j/7, dans un délai cible de quelques minutes.</w:t>
      </w:r>
    </w:p>
    <w:p>
      <w:pPr>
        <w:pStyle w:val="ListParagraph"/>
        <w:numPr>
          <w:ilvl w:val="0"/>
          <w:numId w:val="2"/>
        </w:numPr>
        <w:spacing w:after="88" w:line="264"/>
      </w:pPr>
      <w:r>
        <w:rPr>
          <w:rFonts w:ascii="Calibri" w:cs="Calibri" w:eastAsia="Calibri" w:hAnsi="Calibri"/>
          <w:color w:val="0A0A0A"/>
          <w:sz w:val="21"/>
          <w:szCs w:val="21"/>
        </w:rPr>
        <w:t xml:space="preserve">Conversation de qualification en langage naturel, en français, anglais, néerlandais et russe (le thaï est disponible en écrit ; la voix n’est pas incluse, voir 2.4).</w:t>
      </w:r>
    </w:p>
    <w:p>
      <w:pPr>
        <w:pStyle w:val="ListParagraph"/>
        <w:numPr>
          <w:ilvl w:val="0"/>
          <w:numId w:val="2"/>
        </w:numPr>
        <w:spacing w:after="88" w:line="264"/>
      </w:pPr>
      <w:r>
        <w:rPr>
          <w:rFonts w:ascii="Calibri" w:cs="Calibri" w:eastAsia="Calibri" w:hAnsi="Calibri"/>
          <w:color w:val="0A0A0A"/>
          <w:sz w:val="21"/>
          <w:szCs w:val="21"/>
        </w:rPr>
        <w:t xml:space="preserve">Recueil des éléments clés : type de bien, zone, budget indicatif, échéance.</w:t>
      </w:r>
    </w:p>
    <w:p>
      <w:pPr>
        <w:pStyle w:val="ListParagraph"/>
        <w:numPr>
          <w:ilvl w:val="0"/>
          <w:numId w:val="2"/>
        </w:numPr>
        <w:spacing w:after="88" w:line="264"/>
      </w:pPr>
      <w:r>
        <w:rPr>
          <w:rFonts w:ascii="Calibri" w:cs="Calibri" w:eastAsia="Calibri" w:hAnsi="Calibri"/>
          <w:color w:val="0A0A0A"/>
          <w:sz w:val="21"/>
          <w:szCs w:val="21"/>
        </w:rPr>
        <w:t xml:space="preserve">Proposition d’un créneau de rendez-vous via le lien de réservation du Client (configuré à l’onboarding).</w:t>
      </w:r>
    </w:p>
    <w:p>
      <w:pPr>
        <w:pStyle w:val="ListParagraph"/>
        <w:numPr>
          <w:ilvl w:val="0"/>
          <w:numId w:val="2"/>
        </w:numPr>
        <w:spacing w:after="88" w:line="264"/>
      </w:pPr>
      <w:r>
        <w:rPr>
          <w:rFonts w:ascii="Calibri" w:cs="Calibri" w:eastAsia="Calibri" w:hAnsi="Calibri"/>
          <w:color w:val="0A0A0A"/>
          <w:sz w:val="21"/>
          <w:szCs w:val="21"/>
        </w:rPr>
        <w:t xml:space="preserve">Enregistrement de chaque contact et de sa qualification dans un tableur (CRM) mis à disposition.</w:t>
      </w:r>
    </w:p>
    <w:p>
      <w:pPr>
        <w:pStyle w:val="ListParagraph"/>
        <w:numPr>
          <w:ilvl w:val="0"/>
          <w:numId w:val="2"/>
        </w:numPr>
        <w:spacing w:after="88" w:line="264"/>
      </w:pPr>
      <w:r>
        <w:rPr>
          <w:rFonts w:ascii="Calibri" w:cs="Calibri" w:eastAsia="Calibri" w:hAnsi="Calibri"/>
          <w:color w:val="0A0A0A"/>
          <w:sz w:val="21"/>
          <w:szCs w:val="21"/>
        </w:rPr>
        <w:t xml:space="preserve">Transmission d’un récapitulatif au négociateur concerné sur WhatsApp.</w:t>
      </w:r>
    </w:p>
    <w:p>
      <w:pPr>
        <w:pStyle w:val="ListParagraph"/>
        <w:numPr>
          <w:ilvl w:val="0"/>
          <w:numId w:val="2"/>
        </w:numPr>
        <w:spacing w:after="88" w:line="264"/>
      </w:pPr>
      <w:r>
        <w:rPr>
          <w:rFonts w:ascii="Calibri" w:cs="Calibri" w:eastAsia="Calibri" w:hAnsi="Calibri"/>
          <w:color w:val="0A0A0A"/>
          <w:sz w:val="21"/>
          <w:szCs w:val="21"/>
        </w:rPr>
        <w:t xml:space="preserve">Garde-fous intégrés : Sarah ne s’invente jamais de chiffres (prix, surface), reste sur le canal WhatsApp, et rédige un récapitulatif avant tout passage de relais.</w:t>
      </w:r>
    </w:p>
    <w:p>
      <w:pPr>
        <w:spacing w:after="120" w:line="264"/>
      </w:pPr>
      <w:r>
        <w:rPr>
          <w:rFonts w:ascii="Calibri" w:cs="Calibri" w:eastAsia="Calibri" w:hAnsi="Calibri"/>
          <w:b/>
          <w:bCs/>
          <w:color w:val="0B1D33"/>
          <w:sz w:val="21"/>
          <w:szCs w:val="21"/>
        </w:rPr>
        <w:t xml:space="preserve">2.2  CONVERT : inclus en complément de RESPOND</w:t>
      </w:r>
    </w:p>
    <w:p>
      <w:pPr>
        <w:pStyle w:val="ListParagraph"/>
        <w:numPr>
          <w:ilvl w:val="0"/>
          <w:numId w:val="2"/>
        </w:numPr>
        <w:spacing w:after="88" w:line="264"/>
      </w:pPr>
      <w:r>
        <w:rPr>
          <w:rFonts w:ascii="Calibri" w:cs="Calibri" w:eastAsia="Calibri" w:hAnsi="Calibri"/>
          <w:color w:val="0A0A0A"/>
          <w:sz w:val="21"/>
          <w:szCs w:val="21"/>
        </w:rPr>
        <w:t xml:space="preserve">Relances automatiques des contacts restés sans réponse (séquence multi-touches, anti-rendez-vous manqué).</w:t>
      </w:r>
    </w:p>
    <w:p>
      <w:pPr>
        <w:pStyle w:val="ListParagraph"/>
        <w:numPr>
          <w:ilvl w:val="0"/>
          <w:numId w:val="2"/>
        </w:numPr>
        <w:spacing w:after="88" w:line="264"/>
      </w:pPr>
      <w:r>
        <w:rPr>
          <w:rFonts w:ascii="Calibri" w:cs="Calibri" w:eastAsia="Calibri" w:hAnsi="Calibri"/>
          <w:color w:val="0A0A0A"/>
          <w:sz w:val="21"/>
          <w:szCs w:val="21"/>
        </w:rPr>
        <w:t xml:space="preserve">Distribution automatique des contacts au bon négociateur selon la zone (routage / rotation).</w:t>
      </w:r>
    </w:p>
    <w:p>
      <w:pPr>
        <w:pStyle w:val="ListParagraph"/>
        <w:numPr>
          <w:ilvl w:val="0"/>
          <w:numId w:val="2"/>
        </w:numPr>
        <w:spacing w:after="88" w:line="264"/>
      </w:pPr>
      <w:r>
        <w:rPr>
          <w:rFonts w:ascii="Calibri" w:cs="Calibri" w:eastAsia="Calibri" w:hAnsi="Calibri"/>
          <w:color w:val="0A0A0A"/>
          <w:sz w:val="21"/>
          <w:szCs w:val="21"/>
        </w:rPr>
        <w:t xml:space="preserve">Rattachement d’un contact à un bien du portefeuille et notifications par email à l’agence : ces deux briques sont paramétrées et activées pendant l’onboarding, au rythme de la configuration du Client (elles ne sont pas actives à la première minute).</w:t>
      </w:r>
    </w:p>
    <w:p>
      <w:pPr>
        <w:spacing w:after="120" w:line="264"/>
      </w:pPr>
      <w:r>
        <w:rPr>
          <w:rFonts w:ascii="Calibri" w:cs="Calibri" w:eastAsia="Calibri" w:hAnsi="Calibri"/>
          <w:b/>
          <w:bCs/>
          <w:color w:val="0B1D33"/>
          <w:sz w:val="21"/>
          <w:szCs w:val="21"/>
        </w:rPr>
        <w:t xml:space="preserve">2.3  Configuré à l’onboarding (toutes offres)</w:t>
      </w:r>
    </w:p>
    <w:p>
      <w:pPr>
        <w:spacing w:after="120" w:line="264"/>
      </w:pPr>
      <w:r>
        <w:rPr>
          <w:rFonts w:ascii="Calibri" w:cs="Calibri" w:eastAsia="Calibri" w:hAnsi="Calibri"/>
          <w:color w:val="0A0A0A"/>
          <w:sz w:val="21"/>
          <w:szCs w:val="21"/>
        </w:rPr>
        <w:t xml:space="preserve">Ces éléments ne sont pas « prêts à l’emploi » : ils sont mis en place ensemble pendant la mise en service (article 5).</w:t>
      </w:r>
    </w:p>
    <w:p>
      <w:pPr>
        <w:pStyle w:val="ListParagraph"/>
        <w:numPr>
          <w:ilvl w:val="0"/>
          <w:numId w:val="2"/>
        </w:numPr>
        <w:spacing w:after="88" w:line="264"/>
      </w:pPr>
      <w:r>
        <w:rPr>
          <w:rFonts w:ascii="Calibri" w:cs="Calibri" w:eastAsia="Calibri" w:hAnsi="Calibri"/>
          <w:color w:val="0A0A0A"/>
          <w:sz w:val="21"/>
          <w:szCs w:val="21"/>
        </w:rPr>
        <w:t xml:space="preserve">Raccordement d’un canal WhatsApp dédié au Client.</w:t>
      </w:r>
    </w:p>
    <w:p>
      <w:pPr>
        <w:pStyle w:val="ListParagraph"/>
        <w:numPr>
          <w:ilvl w:val="0"/>
          <w:numId w:val="2"/>
        </w:numPr>
        <w:spacing w:after="88" w:line="264"/>
      </w:pPr>
      <w:r>
        <w:rPr>
          <w:rFonts w:ascii="Calibri" w:cs="Calibri" w:eastAsia="Calibri" w:hAnsi="Calibri"/>
          <w:color w:val="0A0A0A"/>
          <w:sz w:val="21"/>
          <w:szCs w:val="21"/>
        </w:rPr>
        <w:t xml:space="preserve">Lien de réservation de rendez-vous (agenda du Client).</w:t>
      </w:r>
    </w:p>
    <w:p>
      <w:pPr>
        <w:pStyle w:val="ListParagraph"/>
        <w:numPr>
          <w:ilvl w:val="0"/>
          <w:numId w:val="2"/>
        </w:numPr>
        <w:spacing w:after="88" w:line="264"/>
      </w:pPr>
      <w:r>
        <w:rPr>
          <w:rFonts w:ascii="Calibri" w:cs="Calibri" w:eastAsia="Calibri" w:hAnsi="Calibri"/>
          <w:color w:val="0A0A0A"/>
          <w:sz w:val="21"/>
          <w:szCs w:val="21"/>
        </w:rPr>
        <w:t xml:space="preserve">Nom et ton de l’agence, zones et affectation aux négociateurs.</w:t>
      </w:r>
    </w:p>
    <w:p>
      <w:pPr>
        <w:pStyle w:val="ListParagraph"/>
        <w:numPr>
          <w:ilvl w:val="0"/>
          <w:numId w:val="2"/>
        </w:numPr>
        <w:spacing w:after="88" w:line="264"/>
      </w:pPr>
      <w:r>
        <w:rPr>
          <w:rFonts w:ascii="Calibri" w:cs="Calibri" w:eastAsia="Calibri" w:hAnsi="Calibri"/>
          <w:color w:val="0A0A0A"/>
          <w:sz w:val="21"/>
          <w:szCs w:val="21"/>
        </w:rPr>
        <w:t xml:space="preserve">Tableur CRM. Calibrage des messages au ton du Client.</w:t>
      </w:r>
    </w:p>
    <w:p>
      <w:pPr>
        <w:spacing w:after="120" w:line="264"/>
      </w:pPr>
      <w:r>
        <w:rPr>
          <w:rFonts w:ascii="Calibri" w:cs="Calibri" w:eastAsia="Calibri" w:hAnsi="Calibri"/>
          <w:b/>
          <w:bCs/>
          <w:color w:val="0B1D33"/>
          <w:sz w:val="21"/>
          <w:szCs w:val="21"/>
        </w:rPr>
        <w:t xml:space="preserve">2.4  Hors périmètre (non inclus)</w:t>
      </w:r>
    </w:p>
    <w:p>
      <w:pPr>
        <w:spacing w:after="120" w:line="264"/>
      </w:pPr>
      <w:r>
        <w:rPr>
          <w:rFonts w:ascii="Calibri" w:cs="Calibri" w:eastAsia="Calibri" w:hAnsi="Calibri"/>
          <w:color w:val="0A0A0A"/>
          <w:sz w:val="21"/>
          <w:szCs w:val="21"/>
        </w:rPr>
        <w:t xml:space="preserve">Pour être transparent, les éléments suivants ne sont pas fournis au titre du présent contrat :</w:t>
      </w:r>
    </w:p>
    <w:p>
      <w:pPr>
        <w:pStyle w:val="ListParagraph"/>
        <w:numPr>
          <w:ilvl w:val="0"/>
          <w:numId w:val="2"/>
        </w:numPr>
        <w:spacing w:after="88" w:line="264"/>
      </w:pPr>
      <w:r>
        <w:rPr>
          <w:rFonts w:ascii="Calibri" w:cs="Calibri" w:eastAsia="Calibri" w:hAnsi="Calibri"/>
          <w:color w:val="0A0A0A"/>
          <w:sz w:val="21"/>
          <w:szCs w:val="21"/>
        </w:rPr>
        <w:t xml:space="preserve">Sarah vocale (réponse aux messages vocaux et appels) : en cours de mise au point, non garantie, non incluse.</w:t>
      </w:r>
    </w:p>
    <w:p>
      <w:pPr>
        <w:pStyle w:val="ListParagraph"/>
        <w:numPr>
          <w:ilvl w:val="0"/>
          <w:numId w:val="2"/>
        </w:numPr>
        <w:spacing w:after="88" w:line="264"/>
      </w:pPr>
      <w:r>
        <w:rPr>
          <w:rFonts w:ascii="Calibri" w:cs="Calibri" w:eastAsia="Calibri" w:hAnsi="Calibri"/>
          <w:color w:val="0A0A0A"/>
          <w:sz w:val="21"/>
          <w:szCs w:val="21"/>
        </w:rPr>
        <w:t xml:space="preserve">Réponse automatique aux commentaires Facebook / Instagram (comment-to-DM) : évolution future, non disponible.</w:t>
      </w:r>
    </w:p>
    <w:p>
      <w:pPr>
        <w:pStyle w:val="ListParagraph"/>
        <w:numPr>
          <w:ilvl w:val="0"/>
          <w:numId w:val="2"/>
        </w:numPr>
        <w:spacing w:after="88" w:line="264"/>
      </w:pPr>
      <w:r>
        <w:rPr>
          <w:rFonts w:ascii="Calibri" w:cs="Calibri" w:eastAsia="Calibri" w:hAnsi="Calibri"/>
          <w:color w:val="0A0A0A"/>
          <w:sz w:val="21"/>
          <w:szCs w:val="21"/>
        </w:rPr>
        <w:t xml:space="preserve">Toute intégration à un logiciel tiers du Client non expressément mentionnée en annexe.</w:t>
      </w:r>
    </w:p>
    <w:p>
      <w:pPr>
        <w:pStyle w:val="ListParagraph"/>
        <w:numPr>
          <w:ilvl w:val="0"/>
          <w:numId w:val="2"/>
        </w:numPr>
        <w:spacing w:after="88" w:line="264"/>
      </w:pPr>
      <w:r>
        <w:rPr>
          <w:rFonts w:ascii="Calibri" w:cs="Calibri" w:eastAsia="Calibri" w:hAnsi="Calibri"/>
          <w:color w:val="0A0A0A"/>
          <w:sz w:val="21"/>
          <w:szCs w:val="21"/>
        </w:rPr>
        <w:t xml:space="preserve">La production ou la vérification juridique des annonces, mandats ou documents du Client.</w:t>
      </w:r>
    </w:p>
    <w:p>
      <w:pPr>
        <w:spacing w:after="120" w:line="264"/>
      </w:pPr>
      <w:r>
        <w:rPr>
          <w:rFonts w:ascii="Calibri" w:cs="Calibri" w:eastAsia="Calibri" w:hAnsi="Calibri"/>
          <w:color w:val="0A0A0A"/>
          <w:sz w:val="21"/>
          <w:szCs w:val="21"/>
        </w:rPr>
        <w:t xml:space="preserve">Ces éléments pourront faire l’objet d’un avenant s’ils deviennent disponibles.</w:t>
      </w:r>
    </w:p>
    <w:p>
      <w:pPr>
        <w:pStyle w:val="Heading1"/>
        <w:spacing w:after="110" w:before="240"/>
      </w:pPr>
      <w:r>
        <w:rPr>
          <w:rFonts w:ascii="Calibri" w:cs="Calibri" w:eastAsia="Calibri" w:hAnsi="Calibri"/>
          <w:b/>
          <w:bCs/>
          <w:color w:val="0B1D33"/>
          <w:sz w:val="26"/>
          <w:szCs w:val="26"/>
        </w:rPr>
        <w:t xml:space="preserve">3. Prix et facturation</w:t>
      </w:r>
    </w:p>
    <w:p>
      <w:pPr>
        <w:spacing w:after="120" w:line="264"/>
      </w:pPr>
      <w:r>
        <w:rPr>
          <w:rFonts w:ascii="Calibri" w:cs="Calibri" w:eastAsia="Calibri" w:hAnsi="Calibri"/>
          <w:color w:val="0A0A0A"/>
          <w:sz w:val="21"/>
          <w:szCs w:val="21"/>
        </w:rPr>
        <w:t xml:space="preserve">Montants exprimés en livres sterling (GBP), hors taxes applicables le cas échéant.</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4680"/>
        <w:gridCol w:w="2340"/>
        <w:gridCol w:w="2340"/>
      </w:tblGrid>
      <w:tr>
        <w:trPr>
          <w:tblHeader/>
        </w:trPr>
        <w:tc>
          <w:tcPr>
            <w:tcW w:type="dxa" w:w="4680"/>
            <w:shd w:fill="E8EEF7" w:color="auto" w:val="clear"/>
            <w:tcMar>
              <w:top w:type="dxa" w:w="60"/>
              <w:left w:type="dxa" w:w="100"/>
              <w:bottom w:type="dxa" w:w="60"/>
              <w:right w:type="dxa" w:w="100"/>
            </w:tcMar>
          </w:tcPr>
          <w:p>
            <w:pPr>
              <w:jc w:val="left"/>
            </w:pPr>
            <w:r>
              <w:rPr>
                <w:rFonts w:ascii="Calibri" w:cs="Calibri" w:eastAsia="Calibri" w:hAnsi="Calibri"/>
                <w:b/>
                <w:bCs/>
                <w:color w:val="0B1D33"/>
                <w:sz w:val="20"/>
                <w:szCs w:val="20"/>
              </w:rPr>
              <w:t xml:space="preserve">Offre</w:t>
            </w:r>
          </w:p>
        </w:tc>
        <w:tc>
          <w:tcPr>
            <w:tcW w:type="dxa" w:w="2340"/>
            <w:shd w:fill="E8EEF7" w:color="auto" w:val="clear"/>
            <w:tcMar>
              <w:top w:type="dxa" w:w="60"/>
              <w:left w:type="dxa" w:w="100"/>
              <w:bottom w:type="dxa" w:w="60"/>
              <w:right w:type="dxa" w:w="100"/>
            </w:tcMar>
          </w:tcPr>
          <w:p>
            <w:pPr>
              <w:jc w:val="right"/>
            </w:pPr>
            <w:r>
              <w:rPr>
                <w:rFonts w:ascii="Calibri" w:cs="Calibri" w:eastAsia="Calibri" w:hAnsi="Calibri"/>
                <w:b/>
                <w:bCs/>
                <w:color w:val="0B1D33"/>
                <w:sz w:val="20"/>
                <w:szCs w:val="20"/>
              </w:rPr>
              <w:t xml:space="preserve">Abonnement</w:t>
            </w:r>
          </w:p>
        </w:tc>
        <w:tc>
          <w:tcPr>
            <w:tcW w:type="dxa" w:w="2340"/>
            <w:shd w:fill="E8EEF7" w:color="auto" w:val="clear"/>
            <w:tcMar>
              <w:top w:type="dxa" w:w="60"/>
              <w:left w:type="dxa" w:w="100"/>
              <w:bottom w:type="dxa" w:w="60"/>
              <w:right w:type="dxa" w:w="100"/>
            </w:tcMar>
          </w:tcPr>
          <w:p>
            <w:pPr>
              <w:jc w:val="left"/>
            </w:pPr>
            <w:r>
              <w:rPr>
                <w:rFonts w:ascii="Calibri" w:cs="Calibri" w:eastAsia="Calibri" w:hAnsi="Calibri"/>
                <w:b/>
                <w:bCs/>
                <w:color w:val="0B1D33"/>
                <w:sz w:val="20"/>
                <w:szCs w:val="20"/>
              </w:rPr>
              <w:t xml:space="preserve">Mise en service</w:t>
            </w:r>
          </w:p>
        </w:tc>
      </w:tr>
      <w:tr>
        <w:tc>
          <w:tcPr>
            <w:tcW w:type="dxa" w:w="4680"/>
            <w:tcMar>
              <w:top w:type="dxa" w:w="60"/>
              <w:left w:type="dxa" w:w="100"/>
              <w:bottom w:type="dxa" w:w="60"/>
              <w:right w:type="dxa" w:w="100"/>
            </w:tcMar>
          </w:tcPr>
          <w:p>
            <w:pPr>
              <w:jc w:val="left"/>
            </w:pPr>
            <w:r>
              <w:rPr>
                <w:rFonts w:ascii="Calibri" w:cs="Calibri" w:eastAsia="Calibri" w:hAnsi="Calibri"/>
                <w:b w:val="false"/>
                <w:bCs w:val="false"/>
                <w:color w:val="0A0A0A"/>
                <w:sz w:val="20"/>
                <w:szCs w:val="20"/>
              </w:rPr>
              <w:t xml:space="preserve">RESPOND (Capter)</w:t>
            </w:r>
          </w:p>
        </w:tc>
        <w:tc>
          <w:tcPr>
            <w:tcW w:type="dxa" w:w="2340"/>
            <w:tcMar>
              <w:top w:type="dxa" w:w="60"/>
              <w:left w:type="dxa" w:w="100"/>
              <w:bottom w:type="dxa" w:w="60"/>
              <w:right w:type="dxa" w:w="100"/>
            </w:tcMar>
          </w:tcPr>
          <w:p>
            <w:pPr>
              <w:jc w:val="right"/>
            </w:pPr>
            <w:r>
              <w:rPr>
                <w:rFonts w:ascii="Calibri" w:cs="Calibri" w:eastAsia="Calibri" w:hAnsi="Calibri"/>
                <w:b/>
                <w:bCs/>
                <w:color w:val="0B1D33"/>
                <w:sz w:val="20"/>
                <w:szCs w:val="20"/>
              </w:rPr>
              <w:t xml:space="preserve">£290 / mois</w:t>
            </w:r>
          </w:p>
        </w:tc>
        <w:tc>
          <w:tcPr>
            <w:tcW w:type="dxa" w:w="2340"/>
            <w:tcMar>
              <w:top w:type="dxa" w:w="60"/>
              <w:left w:type="dxa" w:w="100"/>
              <w:bottom w:type="dxa" w:w="60"/>
              <w:right w:type="dxa" w:w="100"/>
            </w:tcMar>
          </w:tcPr>
          <w:p>
            <w:pPr>
              <w:jc w:val="left"/>
            </w:pPr>
            <w:r>
              <w:rPr>
                <w:rFonts w:ascii="Calibri" w:cs="Calibri" w:eastAsia="Calibri" w:hAnsi="Calibri"/>
                <w:b w:val="false"/>
                <w:bCs w:val="false"/>
                <w:color w:val="0A0A0A"/>
                <w:sz w:val="20"/>
                <w:szCs w:val="20"/>
              </w:rPr>
              <w:t xml:space="preserve">£490</w:t>
            </w:r>
          </w:p>
        </w:tc>
      </w:tr>
      <w:tr>
        <w:tc>
          <w:tcPr>
            <w:tcW w:type="dxa" w:w="4680"/>
            <w:tcMar>
              <w:top w:type="dxa" w:w="60"/>
              <w:left w:type="dxa" w:w="100"/>
              <w:bottom w:type="dxa" w:w="60"/>
              <w:right w:type="dxa" w:w="100"/>
            </w:tcMar>
          </w:tcPr>
          <w:p>
            <w:pPr>
              <w:jc w:val="left"/>
            </w:pPr>
            <w:r>
              <w:rPr>
                <w:rFonts w:ascii="Calibri" w:cs="Calibri" w:eastAsia="Calibri" w:hAnsi="Calibri"/>
                <w:b w:val="false"/>
                <w:bCs w:val="false"/>
                <w:color w:val="0A0A0A"/>
                <w:sz w:val="20"/>
                <w:szCs w:val="20"/>
              </w:rPr>
              <w:t xml:space="preserve">CONVERT (Convertir)</w:t>
            </w:r>
          </w:p>
        </w:tc>
        <w:tc>
          <w:tcPr>
            <w:tcW w:type="dxa" w:w="2340"/>
            <w:tcMar>
              <w:top w:type="dxa" w:w="60"/>
              <w:left w:type="dxa" w:w="100"/>
              <w:bottom w:type="dxa" w:w="60"/>
              <w:right w:type="dxa" w:w="100"/>
            </w:tcMar>
          </w:tcPr>
          <w:p>
            <w:pPr>
              <w:jc w:val="right"/>
            </w:pPr>
            <w:r>
              <w:rPr>
                <w:rFonts w:ascii="Calibri" w:cs="Calibri" w:eastAsia="Calibri" w:hAnsi="Calibri"/>
                <w:b/>
                <w:bCs/>
                <w:color w:val="0B1D33"/>
                <w:sz w:val="20"/>
                <w:szCs w:val="20"/>
              </w:rPr>
              <w:t xml:space="preserve">£490 / mois</w:t>
            </w:r>
          </w:p>
        </w:tc>
        <w:tc>
          <w:tcPr>
            <w:tcW w:type="dxa" w:w="2340"/>
            <w:tcMar>
              <w:top w:type="dxa" w:w="60"/>
              <w:left w:type="dxa" w:w="100"/>
              <w:bottom w:type="dxa" w:w="60"/>
              <w:right w:type="dxa" w:w="100"/>
            </w:tcMar>
          </w:tcPr>
          <w:p>
            <w:pPr>
              <w:jc w:val="left"/>
            </w:pPr>
            <w:r>
              <w:rPr>
                <w:rFonts w:ascii="Calibri" w:cs="Calibri" w:eastAsia="Calibri" w:hAnsi="Calibri"/>
                <w:b w:val="false"/>
                <w:bCs w:val="false"/>
                <w:color w:val="0A0A0A"/>
                <w:sz w:val="20"/>
                <w:szCs w:val="20"/>
              </w:rPr>
              <w:t xml:space="preserve">£990</w:t>
            </w:r>
          </w:p>
        </w:tc>
      </w:tr>
      <w:tr>
        <w:tc>
          <w:tcPr>
            <w:tcW w:type="dxa" w:w="4680"/>
            <w:tcMar>
              <w:top w:type="dxa" w:w="60"/>
              <w:left w:type="dxa" w:w="100"/>
              <w:bottom w:type="dxa" w:w="60"/>
              <w:right w:type="dxa" w:w="100"/>
            </w:tcMar>
          </w:tcPr>
          <w:p>
            <w:pPr>
              <w:jc w:val="left"/>
            </w:pPr>
            <w:r>
              <w:rPr>
                <w:rFonts w:ascii="Calibri" w:cs="Calibri" w:eastAsia="Calibri" w:hAnsi="Calibri"/>
                <w:b w:val="false"/>
                <w:bCs w:val="false"/>
                <w:color w:val="0A0A0A"/>
                <w:sz w:val="20"/>
                <w:szCs w:val="20"/>
              </w:rPr>
              <w:t xml:space="preserve">DOMINATE (Développer)</w:t>
            </w:r>
          </w:p>
        </w:tc>
        <w:tc>
          <w:tcPr>
            <w:tcW w:type="dxa" w:w="2340"/>
            <w:tcMar>
              <w:top w:type="dxa" w:w="60"/>
              <w:left w:type="dxa" w:w="100"/>
              <w:bottom w:type="dxa" w:w="60"/>
              <w:right w:type="dxa" w:w="100"/>
            </w:tcMar>
          </w:tcPr>
          <w:p>
            <w:pPr>
              <w:jc w:val="right"/>
            </w:pPr>
            <w:r>
              <w:rPr>
                <w:rFonts w:ascii="Calibri" w:cs="Calibri" w:eastAsia="Calibri" w:hAnsi="Calibri"/>
                <w:b/>
                <w:bCs/>
                <w:color w:val="0B1D33"/>
                <w:sz w:val="20"/>
                <w:szCs w:val="20"/>
              </w:rPr>
              <w:t xml:space="preserve">£790 / mois</w:t>
            </w:r>
          </w:p>
        </w:tc>
        <w:tc>
          <w:tcPr>
            <w:tcW w:type="dxa" w:w="2340"/>
            <w:tcMar>
              <w:top w:type="dxa" w:w="60"/>
              <w:left w:type="dxa" w:w="100"/>
              <w:bottom w:type="dxa" w:w="60"/>
              <w:right w:type="dxa" w:w="100"/>
            </w:tcMar>
          </w:tcPr>
          <w:p>
            <w:pPr>
              <w:jc w:val="left"/>
            </w:pPr>
            <w:r>
              <w:rPr>
                <w:rFonts w:ascii="Calibri" w:cs="Calibri" w:eastAsia="Calibri" w:hAnsi="Calibri"/>
                <w:b w:val="false"/>
                <w:bCs w:val="false"/>
                <w:color w:val="0A0A0A"/>
                <w:sz w:val="20"/>
                <w:szCs w:val="20"/>
              </w:rPr>
              <w:t xml:space="preserve">£1 490</w:t>
            </w:r>
          </w:p>
        </w:tc>
      </w:tr>
    </w:tbl>
    <w:p>
      <w:pPr>
        <w:spacing w:after="80" w:before="120"/>
      </w:pPr>
      <w:r>
        <w:rPr>
          <w:rFonts w:ascii="Calibri" w:cs="Calibri" w:eastAsia="Calibri" w:hAnsi="Calibri"/>
          <w:b/>
          <w:bCs/>
          <w:color w:val="0A0A0A"/>
          <w:sz w:val="21"/>
          <w:szCs w:val="21"/>
        </w:rPr>
        <w:t xml:space="preserve">Offre retenue : </w:t>
      </w:r>
      <w:r>
        <w:rPr>
          <w:rFonts w:ascii="Calibri" w:cs="Calibri" w:eastAsia="Calibri" w:hAnsi="Calibri"/>
          <w:b/>
          <w:bCs/>
          <w:color w:val="2563EB"/>
          <w:sz w:val="21"/>
          <w:szCs w:val="21"/>
        </w:rPr>
        <w:t xml:space="preserve">[RESPOND / CONVERT / DOMINATE]</w:t>
      </w:r>
      <w:r>
        <w:rPr>
          <w:rFonts w:ascii="Calibri" w:cs="Calibri" w:eastAsia="Calibri" w:hAnsi="Calibri"/>
          <w:color w:val="0A0A0A"/>
          <w:sz w:val="21"/>
          <w:szCs w:val="21"/>
        </w:rPr>
        <w:t xml:space="preserve">     </w:t>
      </w:r>
      <w:r>
        <w:rPr>
          <w:rFonts w:ascii="Calibri" w:cs="Calibri" w:eastAsia="Calibri" w:hAnsi="Calibri"/>
          <w:b/>
          <w:bCs/>
          <w:color w:val="0A0A0A"/>
          <w:sz w:val="21"/>
          <w:szCs w:val="21"/>
        </w:rPr>
        <w:t xml:space="preserve">Abonnement mensuel : </w:t>
      </w:r>
      <w:r>
        <w:rPr>
          <w:rFonts w:ascii="Calibri" w:cs="Calibri" w:eastAsia="Calibri" w:hAnsi="Calibri"/>
          <w:b/>
          <w:bCs/>
          <w:color w:val="2563EB"/>
          <w:sz w:val="21"/>
          <w:szCs w:val="21"/>
        </w:rPr>
        <w:t xml:space="preserve">[Prix mensuel]</w:t>
      </w:r>
    </w:p>
    <w:p>
      <w:pPr>
        <w:spacing w:after="120" w:line="264"/>
      </w:pPr>
      <w:r>
        <w:rPr>
          <w:rFonts w:ascii="Calibri" w:cs="Calibri" w:eastAsia="Calibri" w:hAnsi="Calibri"/>
          <w:b/>
          <w:bCs/>
          <w:color w:val="0A0A0A"/>
          <w:sz w:val="21"/>
          <w:szCs w:val="21"/>
        </w:rPr>
        <w:t xml:space="preserve">Frais de mise en service (setup) : </w:t>
      </w:r>
      <w:r>
        <w:rPr>
          <w:rFonts w:ascii="Calibri" w:cs="Calibri" w:eastAsia="Calibri" w:hAnsi="Calibri"/>
          <w:b/>
          <w:bCs/>
          <w:color w:val="2563EB"/>
          <w:sz w:val="21"/>
          <w:szCs w:val="21"/>
        </w:rPr>
        <w:t xml:space="preserve">[Setup]</w:t>
      </w:r>
      <w:r>
        <w:rPr>
          <w:rFonts w:ascii="Calibri" w:cs="Calibri" w:eastAsia="Calibri" w:hAnsi="Calibri"/>
          <w:color w:val="0A0A0A"/>
          <w:sz w:val="21"/>
          <w:szCs w:val="21"/>
        </w:rPr>
        <w:t xml:space="preserve">     </w:t>
      </w:r>
      <w:r>
        <w:rPr>
          <w:rFonts w:ascii="Calibri" w:cs="Calibri" w:eastAsia="Calibri" w:hAnsi="Calibri"/>
          <w:b/>
          <w:bCs/>
          <w:color w:val="0A0A0A"/>
          <w:sz w:val="21"/>
          <w:szCs w:val="21"/>
        </w:rPr>
        <w:t xml:space="preserve">Prix de lancement le cas échéant : </w:t>
      </w:r>
      <w:r>
        <w:rPr>
          <w:rFonts w:ascii="Calibri" w:cs="Calibri" w:eastAsia="Calibri" w:hAnsi="Calibri"/>
          <w:b/>
          <w:bCs/>
          <w:color w:val="2563EB"/>
          <w:sz w:val="21"/>
          <w:szCs w:val="21"/>
        </w:rPr>
        <w:t xml:space="preserve">[Prix de lancement + durée]</w:t>
      </w:r>
    </w:p>
    <w:p>
      <w:pPr>
        <w:spacing w:after="120" w:line="264"/>
      </w:pPr>
      <w:r>
        <w:rPr>
          <w:rFonts w:ascii="Calibri" w:cs="Calibri" w:eastAsia="Calibri" w:hAnsi="Calibri"/>
          <w:b/>
          <w:bCs/>
          <w:color w:val="0A0A0A"/>
          <w:sz w:val="21"/>
          <w:szCs w:val="21"/>
        </w:rPr>
        <w:t xml:space="preserve">Formule de paiement : </w:t>
      </w:r>
      <w:r>
        <w:rPr>
          <w:rFonts w:ascii="Calibri" w:cs="Calibri" w:eastAsia="Calibri" w:hAnsi="Calibri"/>
          <w:color w:val="0A0A0A"/>
          <w:sz w:val="21"/>
          <w:szCs w:val="21"/>
        </w:rPr>
        <w:t xml:space="preserve">mensuelle ☐     annuelle ☐</w:t>
      </w:r>
    </w:p>
    <w:p>
      <w:pPr>
        <w:spacing w:after="120" w:line="264"/>
      </w:pPr>
      <w:r>
        <w:rPr>
          <w:rFonts w:ascii="Calibri" w:cs="Calibri" w:eastAsia="Calibri" w:hAnsi="Calibri"/>
          <w:b/>
          <w:bCs/>
          <w:color w:val="0A0A0A"/>
          <w:sz w:val="21"/>
          <w:szCs w:val="21"/>
        </w:rPr>
        <w:t xml:space="preserve">Offre annuelle : </w:t>
      </w:r>
      <w:r>
        <w:rPr>
          <w:rFonts w:ascii="Calibri" w:cs="Calibri" w:eastAsia="Calibri" w:hAnsi="Calibri"/>
          <w:color w:val="0A0A0A"/>
          <w:sz w:val="21"/>
          <w:szCs w:val="21"/>
        </w:rPr>
        <w:t xml:space="preserve">douze mois d’abonnement payés en une fois, à la commande, au prix de dix mois, mise en service offerte, sans reconduction tacite. RESPOND £2 900, CONVERT £4 900, DOMINATE £7 900.</w:t>
      </w:r>
    </w:p>
    <w:p>
      <w:pPr>
        <w:spacing w:after="120" w:line="264"/>
      </w:pPr>
      <w:r>
        <w:rPr>
          <w:rFonts w:ascii="Calibri" w:cs="Calibri" w:eastAsia="Calibri" w:hAnsi="Calibri"/>
          <w:b/>
          <w:bCs/>
          <w:color w:val="0A0A0A"/>
          <w:sz w:val="21"/>
          <w:szCs w:val="21"/>
        </w:rPr>
        <w:t xml:space="preserve">Volume inclus : </w:t>
      </w:r>
      <w:r>
        <w:rPr>
          <w:rFonts w:ascii="Calibri" w:cs="Calibri" w:eastAsia="Calibri" w:hAnsi="Calibri"/>
          <w:color w:val="0A0A0A"/>
          <w:sz w:val="21"/>
          <w:szCs w:val="21"/>
        </w:rPr>
        <w:t xml:space="preserve">jusqu’à 100 acheteurs par mois avec RESPOND, 200 avec CONVERT, 400 avec DOMINATE. Au-delà : £1 par acheteur supplémentaire. Un acheteur est une personne qui a écrit à Sarah dans le mois. Les frais facturés par Meta pour les messages WhatsApp sont inclus dans l’abonnement.</w:t>
      </w:r>
    </w:p>
    <w:p>
      <w:pPr>
        <w:spacing w:after="120" w:line="264"/>
      </w:pPr>
      <w:r>
        <w:rPr>
          <w:rFonts w:ascii="Calibri" w:cs="Calibri" w:eastAsia="Calibri" w:hAnsi="Calibri"/>
          <w:color w:val="0A0A0A"/>
          <w:sz w:val="21"/>
          <w:szCs w:val="21"/>
        </w:rPr>
        <w:t xml:space="preserve">Les frais de mise en service sont payables à la commande. L’abonnement mensuel est payable mensuellement et d’avance ; l’offre annuelle, en une fois à la commande.</w:t>
      </w:r>
    </w:p>
    <w:p>
      <w:pPr>
        <w:pStyle w:val="Heading1"/>
        <w:spacing w:after="110" w:before="240"/>
      </w:pPr>
      <w:r>
        <w:rPr>
          <w:rFonts w:ascii="Calibri" w:cs="Calibri" w:eastAsia="Calibri" w:hAnsi="Calibri"/>
          <w:b/>
          <w:bCs/>
          <w:color w:val="0B1D33"/>
          <w:sz w:val="26"/>
          <w:szCs w:val="26"/>
        </w:rPr>
        <w:t xml:space="preserve">4. Durée et résiliation</w:t>
      </w:r>
    </w:p>
    <w:p>
      <w:pPr>
        <w:pStyle w:val="ListParagraph"/>
        <w:numPr>
          <w:ilvl w:val="0"/>
          <w:numId w:val="2"/>
        </w:numPr>
        <w:spacing w:after="88" w:line="264"/>
      </w:pPr>
      <w:r>
        <w:rPr>
          <w:rFonts w:ascii="Calibri" w:cs="Calibri" w:eastAsia="Calibri" w:hAnsi="Calibri"/>
          <w:color w:val="0A0A0A"/>
          <w:sz w:val="21"/>
          <w:szCs w:val="21"/>
        </w:rPr>
        <w:t xml:space="preserve">Le contrat prend effet à sa signature. En formule mensuelle, il est conclu au mois, sans engagement de durée minimale.</w:t>
      </w:r>
    </w:p>
    <w:p>
      <w:pPr>
        <w:pStyle w:val="ListParagraph"/>
        <w:numPr>
          <w:ilvl w:val="0"/>
          <w:numId w:val="2"/>
        </w:numPr>
        <w:spacing w:after="88" w:line="264"/>
      </w:pPr>
      <w:r>
        <w:rPr>
          <w:rFonts w:ascii="Calibri" w:cs="Calibri" w:eastAsia="Calibri" w:hAnsi="Calibri"/>
          <w:color w:val="0A0A0A"/>
          <w:sz w:val="21"/>
          <w:szCs w:val="21"/>
        </w:rPr>
        <w:t xml:space="preserve">Il se renouvelle mois par mois par le paiement de la mensualité suivante. Il ne comporte aucune reconduction tacite dans un engagement ferme : le Client n’est jamais enfermé dans une durée.</w:t>
      </w:r>
    </w:p>
    <w:p>
      <w:pPr>
        <w:pStyle w:val="ListParagraph"/>
        <w:numPr>
          <w:ilvl w:val="0"/>
          <w:numId w:val="2"/>
        </w:numPr>
        <w:spacing w:after="88" w:line="264"/>
      </w:pPr>
      <w:r>
        <w:rPr>
          <w:rFonts w:ascii="Calibri" w:cs="Calibri" w:eastAsia="Calibri" w:hAnsi="Calibri"/>
          <w:color w:val="0A0A0A"/>
          <w:sz w:val="21"/>
          <w:szCs w:val="21"/>
        </w:rPr>
        <w:t xml:space="preserve">Chaque Partie peut résilier à tout moment, par simple écrit (email). La résiliation prend effet à la fin de la période mensuelle en cours ; aucune mensualité entamée n’est due au-delà.</w:t>
      </w:r>
    </w:p>
    <w:p>
      <w:pPr>
        <w:pStyle w:val="ListParagraph"/>
        <w:numPr>
          <w:ilvl w:val="0"/>
          <w:numId w:val="2"/>
        </w:numPr>
        <w:spacing w:after="88" w:line="264"/>
      </w:pPr>
      <w:r>
        <w:rPr>
          <w:rFonts w:ascii="Calibri" w:cs="Calibri" w:eastAsia="Calibri" w:hAnsi="Calibri"/>
          <w:color w:val="0A0A0A"/>
          <w:sz w:val="21"/>
          <w:szCs w:val="21"/>
        </w:rPr>
        <w:t xml:space="preserve">En formule annuelle, le contrat couvre douze mois d’abonnement et prend fin à leur terme, sans reconduction tacite.</w:t>
      </w:r>
    </w:p>
    <w:p>
      <w:pPr>
        <w:pStyle w:val="ListParagraph"/>
        <w:numPr>
          <w:ilvl w:val="0"/>
          <w:numId w:val="2"/>
        </w:numPr>
        <w:spacing w:after="88" w:line="264"/>
      </w:pPr>
      <w:r>
        <w:rPr>
          <w:rFonts w:ascii="Calibri" w:cs="Calibri" w:eastAsia="Calibri" w:hAnsi="Calibri"/>
          <w:b/>
          <w:bCs/>
          <w:color w:val="0A0A0A"/>
          <w:sz w:val="21"/>
          <w:szCs w:val="21"/>
        </w:rPr>
        <w:t xml:space="preserve">Garantie 30 jours satisfait ou remboursé : </w:t>
      </w:r>
      <w:r>
        <w:rPr>
          <w:rFonts w:ascii="Calibri" w:cs="Calibri" w:eastAsia="Calibri" w:hAnsi="Calibri"/>
          <w:color w:val="0A0A0A"/>
          <w:sz w:val="21"/>
          <w:szCs w:val="21"/>
        </w:rPr>
        <w:t xml:space="preserve">le Client peut demander le remboursement intégral de son premier mois d’abonnement dans les 30 jours suivant la mise en service, sans avoir à se justifier. Cette garantie n’est soumise à aucune condition de résultat, de performance ou de chiffre commercial.</w:t>
      </w:r>
    </w:p>
    <w:p>
      <w:pPr>
        <w:pStyle w:val="Heading1"/>
        <w:spacing w:after="110" w:before="240"/>
      </w:pPr>
      <w:r>
        <w:rPr>
          <w:rFonts w:ascii="Calibri" w:cs="Calibri" w:eastAsia="Calibri" w:hAnsi="Calibri"/>
          <w:b/>
          <w:bCs/>
          <w:color w:val="0B1D33"/>
          <w:sz w:val="26"/>
          <w:szCs w:val="26"/>
        </w:rPr>
        <w:t xml:space="preserve">5. Mise en service</w:t>
      </w:r>
    </w:p>
    <w:p>
      <w:pPr>
        <w:spacing w:after="120" w:line="264"/>
      </w:pPr>
      <w:r>
        <w:rPr>
          <w:rFonts w:ascii="Calibri" w:cs="Calibri" w:eastAsia="Calibri" w:hAnsi="Calibri"/>
          <w:b/>
          <w:bCs/>
          <w:color w:val="0A0A0A"/>
          <w:sz w:val="21"/>
          <w:szCs w:val="21"/>
        </w:rPr>
        <w:t xml:space="preserve">Date de mise en service convenue à la signature : </w:t>
      </w:r>
      <w:r>
        <w:rPr>
          <w:rFonts w:ascii="Calibri" w:cs="Calibri" w:eastAsia="Calibri" w:hAnsi="Calibri"/>
          <w:b/>
          <w:bCs/>
          <w:color w:val="2563EB"/>
          <w:sz w:val="21"/>
          <w:szCs w:val="21"/>
        </w:rPr>
        <w:t xml:space="preserve">[Date de mise en service]</w:t>
      </w:r>
    </w:p>
    <w:p>
      <w:pPr>
        <w:pStyle w:val="ListParagraph"/>
        <w:numPr>
          <w:ilvl w:val="0"/>
          <w:numId w:val="2"/>
        </w:numPr>
        <w:spacing w:after="88" w:line="264"/>
      </w:pPr>
      <w:r>
        <w:rPr>
          <w:rFonts w:ascii="Calibri" w:cs="Calibri" w:eastAsia="Calibri" w:hAnsi="Calibri"/>
          <w:color w:val="0A0A0A"/>
          <w:sz w:val="21"/>
          <w:szCs w:val="21"/>
        </w:rPr>
        <w:t xml:space="preserve">La configuration (canal WhatsApp, lien de rendez-vous, CRM, zones et affectations, calibrage des messages) démarre à réception des accès nécessaires et du paiement prévu à l’article 3.</w:t>
      </w:r>
    </w:p>
    <w:p>
      <w:pPr>
        <w:pStyle w:val="ListParagraph"/>
        <w:numPr>
          <w:ilvl w:val="0"/>
          <w:numId w:val="2"/>
        </w:numPr>
        <w:spacing w:after="88" w:line="264"/>
      </w:pPr>
      <w:r>
        <w:rPr>
          <w:rFonts w:ascii="Calibri" w:cs="Calibri" w:eastAsia="Calibri" w:hAnsi="Calibri"/>
          <w:color w:val="0A0A0A"/>
          <w:sz w:val="21"/>
          <w:szCs w:val="21"/>
        </w:rPr>
        <w:t xml:space="preserve">La date de mise en service est convenue à la signature et indiquée ci-dessus. Elle suppose que le Client fournisse les éléments demandés ; le Prestataire s’engage à agir avec diligence dès leur réception et ne promet aucune mise en service immédiate.</w:t>
      </w:r>
    </w:p>
    <w:p>
      <w:pPr>
        <w:pStyle w:val="Heading1"/>
        <w:spacing w:after="110" w:before="240"/>
      </w:pPr>
      <w:r>
        <w:rPr>
          <w:rFonts w:ascii="Calibri" w:cs="Calibri" w:eastAsia="Calibri" w:hAnsi="Calibri"/>
          <w:b/>
          <w:bCs/>
          <w:color w:val="0B1D33"/>
          <w:sz w:val="26"/>
          <w:szCs w:val="26"/>
        </w:rPr>
        <w:t xml:space="preserve">6. Responsabilités et limitation</w:t>
      </w:r>
    </w:p>
    <w:p>
      <w:pPr>
        <w:pStyle w:val="ListParagraph"/>
        <w:numPr>
          <w:ilvl w:val="0"/>
          <w:numId w:val="2"/>
        </w:numPr>
        <w:spacing w:after="88" w:line="264"/>
      </w:pPr>
      <w:r>
        <w:rPr>
          <w:rFonts w:ascii="Calibri" w:cs="Calibri" w:eastAsia="Calibri" w:hAnsi="Calibri"/>
          <w:b/>
          <w:bCs/>
          <w:color w:val="0A0A0A"/>
          <w:sz w:val="21"/>
          <w:szCs w:val="21"/>
        </w:rPr>
        <w:t xml:space="preserve">Rôle de Sarah : </w:t>
      </w:r>
      <w:r>
        <w:rPr>
          <w:rFonts w:ascii="Calibri" w:cs="Calibri" w:eastAsia="Calibri" w:hAnsi="Calibri"/>
          <w:color w:val="0A0A0A"/>
          <w:sz w:val="21"/>
          <w:szCs w:val="21"/>
        </w:rPr>
        <w:t xml:space="preserve">Sarah fournit des informations générales et organise le premier contact. Elle ne donne jamais de conseil juridique, fiscal ou financier tranché, ne s’engage sur aucun prix ferme et ne conclut aucune vente. La relation client, les visites, les négociations et toutes les décisions restent la responsabilité exclusive du Client.</w:t>
      </w:r>
    </w:p>
    <w:p>
      <w:pPr>
        <w:pStyle w:val="ListParagraph"/>
        <w:numPr>
          <w:ilvl w:val="0"/>
          <w:numId w:val="2"/>
        </w:numPr>
        <w:spacing w:after="88" w:line="264"/>
      </w:pPr>
      <w:r>
        <w:rPr>
          <w:rFonts w:ascii="Calibri" w:cs="Calibri" w:eastAsia="Calibri" w:hAnsi="Calibri"/>
          <w:b/>
          <w:bCs/>
          <w:color w:val="0A0A0A"/>
          <w:sz w:val="21"/>
          <w:szCs w:val="21"/>
        </w:rPr>
        <w:t xml:space="preserve">Vérification : </w:t>
      </w:r>
      <w:r>
        <w:rPr>
          <w:rFonts w:ascii="Calibri" w:cs="Calibri" w:eastAsia="Calibri" w:hAnsi="Calibri"/>
          <w:color w:val="0A0A0A"/>
          <w:sz w:val="21"/>
          <w:szCs w:val="21"/>
        </w:rPr>
        <w:t xml:space="preserve">l’assistant repose sur une intelligence artificielle qui peut se tromper. Le Client s’engage à vérifier toute information sensible avant de s’en prévaloir auprès d’un tiers.</w:t>
      </w:r>
    </w:p>
    <w:p>
      <w:pPr>
        <w:pStyle w:val="ListParagraph"/>
        <w:numPr>
          <w:ilvl w:val="0"/>
          <w:numId w:val="2"/>
        </w:numPr>
        <w:spacing w:after="88" w:line="264"/>
      </w:pPr>
      <w:r>
        <w:rPr>
          <w:rFonts w:ascii="Calibri" w:cs="Calibri" w:eastAsia="Calibri" w:hAnsi="Calibri"/>
          <w:b/>
          <w:bCs/>
          <w:color w:val="0A0A0A"/>
          <w:sz w:val="21"/>
          <w:szCs w:val="21"/>
        </w:rPr>
        <w:t xml:space="preserve">Aucune obligation de résultat commercial : </w:t>
      </w:r>
      <w:r>
        <w:rPr>
          <w:rFonts w:ascii="Calibri" w:cs="Calibri" w:eastAsia="Calibri" w:hAnsi="Calibri"/>
          <w:color w:val="0A0A0A"/>
          <w:sz w:val="21"/>
          <w:szCs w:val="21"/>
        </w:rPr>
        <w:t xml:space="preserve">le Prestataire met en œuvre les moyens décrits à l’article 2. Il ne garantit aucun nombre de contacts, de rendez-vous ou de ventes.</w:t>
      </w:r>
    </w:p>
    <w:p>
      <w:pPr>
        <w:pStyle w:val="ListParagraph"/>
        <w:numPr>
          <w:ilvl w:val="0"/>
          <w:numId w:val="2"/>
        </w:numPr>
        <w:spacing w:after="88" w:line="264"/>
      </w:pPr>
      <w:r>
        <w:rPr>
          <w:rFonts w:ascii="Calibri" w:cs="Calibri" w:eastAsia="Calibri" w:hAnsi="Calibri"/>
          <w:b/>
          <w:bCs/>
          <w:color w:val="0A0A0A"/>
          <w:sz w:val="21"/>
          <w:szCs w:val="21"/>
        </w:rPr>
        <w:t xml:space="preserve">Dépendances tierces : </w:t>
      </w:r>
      <w:r>
        <w:rPr>
          <w:rFonts w:ascii="Calibri" w:cs="Calibri" w:eastAsia="Calibri" w:hAnsi="Calibri"/>
          <w:color w:val="0A0A0A"/>
          <w:sz w:val="21"/>
          <w:szCs w:val="21"/>
        </w:rPr>
        <w:t xml:space="preserve">le service repose sur des fournisseurs tiers (WhatsApp / Meta, agenda de réservation, Google, hébergement d’automatisation, fournisseurs d’IA). Le Prestataire n’est pas responsable des interruptions, modifications de conditions ou suspensions de compte imputables à ces tiers, ni des cas de force majeure.</w:t>
      </w:r>
    </w:p>
    <w:p>
      <w:pPr>
        <w:pStyle w:val="ListParagraph"/>
        <w:numPr>
          <w:ilvl w:val="0"/>
          <w:numId w:val="2"/>
        </w:numPr>
        <w:spacing w:after="88" w:line="264"/>
      </w:pPr>
      <w:r>
        <w:rPr>
          <w:rFonts w:ascii="Calibri" w:cs="Calibri" w:eastAsia="Calibri" w:hAnsi="Calibri"/>
          <w:b/>
          <w:bCs/>
          <w:color w:val="0A0A0A"/>
          <w:sz w:val="21"/>
          <w:szCs w:val="21"/>
        </w:rPr>
        <w:t xml:space="preserve">Limitation de responsabilité : </w:t>
      </w:r>
      <w:r>
        <w:rPr>
          <w:rFonts w:ascii="Calibri" w:cs="Calibri" w:eastAsia="Calibri" w:hAnsi="Calibri"/>
          <w:color w:val="0A0A0A"/>
          <w:sz w:val="21"/>
          <w:szCs w:val="21"/>
        </w:rPr>
        <w:t xml:space="preserve">la responsabilité totale du Prestataire, tous préjudices confondus, est plafonnée au montant effectivement payé par le Client au titre des douze (12) derniers mois d’abonnement. Le Prestataire n’est en aucun cas responsable des dommages indirects (perte de chiffre d’affaires, de clientèle, de données, d’image).</w:t>
      </w:r>
    </w:p>
    <w:p>
      <w:pPr>
        <w:pStyle w:val="Heading1"/>
        <w:spacing w:after="110" w:before="240"/>
      </w:pPr>
      <w:r>
        <w:rPr>
          <w:rFonts w:ascii="Calibri" w:cs="Calibri" w:eastAsia="Calibri" w:hAnsi="Calibri"/>
          <w:b/>
          <w:bCs/>
          <w:color w:val="0B1D33"/>
          <w:sz w:val="26"/>
          <w:szCs w:val="26"/>
        </w:rPr>
        <w:t xml:space="preserve">7. Données et RGPD</w:t>
      </w:r>
    </w:p>
    <w:p>
      <w:pPr>
        <w:pStyle w:val="ListParagraph"/>
        <w:numPr>
          <w:ilvl w:val="0"/>
          <w:numId w:val="2"/>
        </w:numPr>
        <w:spacing w:after="88" w:line="264"/>
      </w:pPr>
      <w:r>
        <w:rPr>
          <w:rFonts w:ascii="Calibri" w:cs="Calibri" w:eastAsia="Calibri" w:hAnsi="Calibri"/>
          <w:b/>
          <w:bCs/>
          <w:color w:val="0A0A0A"/>
          <w:sz w:val="21"/>
          <w:szCs w:val="21"/>
        </w:rPr>
        <w:t xml:space="preserve">Propriété : </w:t>
      </w:r>
      <w:r>
        <w:rPr>
          <w:rFonts w:ascii="Calibri" w:cs="Calibri" w:eastAsia="Calibri" w:hAnsi="Calibri"/>
          <w:color w:val="0A0A0A"/>
          <w:sz w:val="21"/>
          <w:szCs w:val="21"/>
        </w:rPr>
        <w:t xml:space="preserve">les données traitées (contacts, échanges, qualifications) appartiennent au Client.</w:t>
      </w:r>
    </w:p>
    <w:p>
      <w:pPr>
        <w:pStyle w:val="ListParagraph"/>
        <w:numPr>
          <w:ilvl w:val="0"/>
          <w:numId w:val="2"/>
        </w:numPr>
        <w:spacing w:after="88" w:line="264"/>
      </w:pPr>
      <w:r>
        <w:rPr>
          <w:rFonts w:ascii="Calibri" w:cs="Calibri" w:eastAsia="Calibri" w:hAnsi="Calibri"/>
          <w:b/>
          <w:bCs/>
          <w:color w:val="0A0A0A"/>
          <w:sz w:val="21"/>
          <w:szCs w:val="21"/>
        </w:rPr>
        <w:t xml:space="preserve">Rôles : </w:t>
      </w:r>
      <w:r>
        <w:rPr>
          <w:rFonts w:ascii="Calibri" w:cs="Calibri" w:eastAsia="Calibri" w:hAnsi="Calibri"/>
          <w:color w:val="0A0A0A"/>
          <w:sz w:val="21"/>
          <w:szCs w:val="21"/>
        </w:rPr>
        <w:t xml:space="preserve">le Client est responsable de traitement ; le Prestataire agit en sous-traitant au sens du RGPD, pour le seul compte du Client et selon ses instructions.</w:t>
      </w:r>
    </w:p>
    <w:p>
      <w:pPr>
        <w:pStyle w:val="ListParagraph"/>
        <w:numPr>
          <w:ilvl w:val="0"/>
          <w:numId w:val="2"/>
        </w:numPr>
        <w:spacing w:after="88" w:line="264"/>
      </w:pPr>
      <w:r>
        <w:rPr>
          <w:rFonts w:ascii="Calibri" w:cs="Calibri" w:eastAsia="Calibri" w:hAnsi="Calibri"/>
          <w:b/>
          <w:bCs/>
          <w:color w:val="0A0A0A"/>
          <w:sz w:val="21"/>
          <w:szCs w:val="21"/>
        </w:rPr>
        <w:t xml:space="preserve">Base légale : </w:t>
      </w:r>
      <w:r>
        <w:rPr>
          <w:rFonts w:ascii="Calibri" w:cs="Calibri" w:eastAsia="Calibri" w:hAnsi="Calibri"/>
          <w:color w:val="0A0A0A"/>
          <w:sz w:val="21"/>
          <w:szCs w:val="21"/>
        </w:rPr>
        <w:t xml:space="preserve">le Client garantit disposer d’une base légale valable pour être contacté par ses contacts entrants et pour leur traitement.</w:t>
      </w:r>
    </w:p>
    <w:p>
      <w:pPr>
        <w:pStyle w:val="ListParagraph"/>
        <w:numPr>
          <w:ilvl w:val="0"/>
          <w:numId w:val="2"/>
        </w:numPr>
        <w:spacing w:after="88" w:line="264"/>
      </w:pPr>
      <w:r>
        <w:rPr>
          <w:rFonts w:ascii="Calibri" w:cs="Calibri" w:eastAsia="Calibri" w:hAnsi="Calibri"/>
          <w:b/>
          <w:bCs/>
          <w:color w:val="0A0A0A"/>
          <w:sz w:val="21"/>
          <w:szCs w:val="21"/>
        </w:rPr>
        <w:t xml:space="preserve">Sous-traitants ultérieurs : </w:t>
      </w:r>
      <w:r>
        <w:rPr>
          <w:rFonts w:ascii="Calibri" w:cs="Calibri" w:eastAsia="Calibri" w:hAnsi="Calibri"/>
          <w:color w:val="0A0A0A"/>
          <w:sz w:val="21"/>
          <w:szCs w:val="21"/>
        </w:rPr>
        <w:t xml:space="preserve">le service s’appuie notamment sur WhatsApp / Meta, Google, un outil de prise de rendez-vous, un hébergeur d’automatisation et des fournisseurs d’IA. Le Client en est informé et les accepte.</w:t>
      </w:r>
    </w:p>
    <w:p>
      <w:pPr>
        <w:pStyle w:val="ListParagraph"/>
        <w:numPr>
          <w:ilvl w:val="0"/>
          <w:numId w:val="2"/>
        </w:numPr>
        <w:spacing w:after="88" w:line="264"/>
      </w:pPr>
      <w:r>
        <w:rPr>
          <w:rFonts w:ascii="Calibri" w:cs="Calibri" w:eastAsia="Calibri" w:hAnsi="Calibri"/>
          <w:b/>
          <w:bCs/>
          <w:color w:val="0A0A0A"/>
          <w:sz w:val="21"/>
          <w:szCs w:val="21"/>
        </w:rPr>
        <w:t xml:space="preserve">Export et effacement : </w:t>
      </w:r>
      <w:r>
        <w:rPr>
          <w:rFonts w:ascii="Calibri" w:cs="Calibri" w:eastAsia="Calibri" w:hAnsi="Calibri"/>
          <w:color w:val="0A0A0A"/>
          <w:sz w:val="21"/>
          <w:szCs w:val="21"/>
        </w:rPr>
        <w:t xml:space="preserve">le Client peut demander à tout moment l’export de ses données ou leur effacement. À la fin du contrat, les données sont supprimées dans un délai de 30 jours, sauf obligation légale de conservation.</w:t>
      </w:r>
    </w:p>
    <w:p>
      <w:pPr>
        <w:pStyle w:val="Heading1"/>
        <w:spacing w:after="110" w:before="240"/>
      </w:pPr>
      <w:r>
        <w:rPr>
          <w:rFonts w:ascii="Calibri" w:cs="Calibri" w:eastAsia="Calibri" w:hAnsi="Calibri"/>
          <w:b/>
          <w:bCs/>
          <w:color w:val="0B1D33"/>
          <w:sz w:val="26"/>
          <w:szCs w:val="26"/>
        </w:rPr>
        <w:t xml:space="preserve">8. Confidentialité</w:t>
      </w:r>
    </w:p>
    <w:p>
      <w:pPr>
        <w:spacing w:after="120" w:line="264"/>
      </w:pPr>
      <w:r>
        <w:rPr>
          <w:rFonts w:ascii="Calibri" w:cs="Calibri" w:eastAsia="Calibri" w:hAnsi="Calibri"/>
          <w:color w:val="0A0A0A"/>
          <w:sz w:val="21"/>
          <w:szCs w:val="21"/>
        </w:rPr>
        <w:t xml:space="preserve">Chaque Partie s’engage à garder strictement confidentielles les informations non publiques de l’autre (données commerciales, contacts, méthodes, tarifs) et à ne les utiliser que pour l’exécution du présent contrat. Cet engagement vaut pendant toute la durée du contrat et pendant trois (3) ans après sa fin.</w:t>
      </w:r>
    </w:p>
    <w:p>
      <w:pPr>
        <w:pStyle w:val="Heading1"/>
        <w:spacing w:after="110" w:before="240"/>
      </w:pPr>
      <w:r>
        <w:rPr>
          <w:rFonts w:ascii="Calibri" w:cs="Calibri" w:eastAsia="Calibri" w:hAnsi="Calibri"/>
          <w:b/>
          <w:bCs/>
          <w:color w:val="0B1D33"/>
          <w:sz w:val="26"/>
          <w:szCs w:val="26"/>
        </w:rPr>
        <w:t xml:space="preserve">9. Paiement</w:t>
      </w:r>
    </w:p>
    <w:p>
      <w:pPr>
        <w:pStyle w:val="ListParagraph"/>
        <w:numPr>
          <w:ilvl w:val="0"/>
          <w:numId w:val="2"/>
        </w:numPr>
        <w:spacing w:after="88" w:line="264"/>
      </w:pPr>
      <w:r>
        <w:rPr>
          <w:rFonts w:ascii="Calibri" w:cs="Calibri" w:eastAsia="Calibri" w:hAnsi="Calibri"/>
          <w:color w:val="0A0A0A"/>
          <w:sz w:val="21"/>
          <w:szCs w:val="21"/>
        </w:rPr>
        <w:t xml:space="preserve">Paiement par Stripe ou tout autre moyen convenu à la signature, en GBP : frais de mise en service à la commande, puis abonnement prélevé chaque mois d’avance ; offre annuelle en une fois, à la commande.</w:t>
      </w:r>
    </w:p>
    <w:p>
      <w:pPr>
        <w:pStyle w:val="ListParagraph"/>
        <w:numPr>
          <w:ilvl w:val="0"/>
          <w:numId w:val="2"/>
        </w:numPr>
        <w:spacing w:after="88" w:line="264"/>
      </w:pPr>
      <w:r>
        <w:rPr>
          <w:rFonts w:ascii="Calibri" w:cs="Calibri" w:eastAsia="Calibri" w:hAnsi="Calibri"/>
          <w:b/>
          <w:bCs/>
          <w:color w:val="0A0A0A"/>
          <w:sz w:val="21"/>
          <w:szCs w:val="21"/>
        </w:rPr>
        <w:t xml:space="preserve">Défaut de paiement : </w:t>
      </w:r>
      <w:r>
        <w:rPr>
          <w:rFonts w:ascii="Calibri" w:cs="Calibri" w:eastAsia="Calibri" w:hAnsi="Calibri"/>
          <w:color w:val="0A0A0A"/>
          <w:sz w:val="21"/>
          <w:szCs w:val="21"/>
        </w:rPr>
        <w:t xml:space="preserve">en cas d’impayé, le Prestataire adresse un rappel. Sans régularisation sous 7 jours, le service est suspendu jusqu’au paiement. Une suspension pour impayé n’ouvre droit à aucun remboursement.</w:t>
      </w:r>
    </w:p>
    <w:p>
      <w:pPr>
        <w:pStyle w:val="ListParagraph"/>
        <w:numPr>
          <w:ilvl w:val="0"/>
          <w:numId w:val="2"/>
        </w:numPr>
        <w:spacing w:after="88" w:line="264"/>
      </w:pPr>
      <w:r>
        <w:rPr>
          <w:rFonts w:ascii="Calibri" w:cs="Calibri" w:eastAsia="Calibri" w:hAnsi="Calibri"/>
          <w:color w:val="0A0A0A"/>
          <w:sz w:val="21"/>
          <w:szCs w:val="21"/>
        </w:rPr>
        <w:t xml:space="preserve">Les frais de mise en service ne sont pas remboursables. La garantie 30 jours (article 4) porte sur le premier mois d’abonnement.</w:t>
      </w:r>
    </w:p>
    <w:p>
      <w:pPr>
        <w:pStyle w:val="Heading1"/>
        <w:spacing w:after="110" w:before="240"/>
      </w:pPr>
      <w:r>
        <w:rPr>
          <w:rFonts w:ascii="Calibri" w:cs="Calibri" w:eastAsia="Calibri" w:hAnsi="Calibri"/>
          <w:b/>
          <w:bCs/>
          <w:color w:val="0B1D33"/>
          <w:sz w:val="26"/>
          <w:szCs w:val="26"/>
        </w:rPr>
        <w:t xml:space="preserve">10. Dispositions générales</w:t>
      </w:r>
    </w:p>
    <w:p>
      <w:pPr>
        <w:pStyle w:val="ListParagraph"/>
        <w:numPr>
          <w:ilvl w:val="0"/>
          <w:numId w:val="2"/>
        </w:numPr>
        <w:spacing w:after="88" w:line="264"/>
      </w:pPr>
      <w:r>
        <w:rPr>
          <w:rFonts w:ascii="Calibri" w:cs="Calibri" w:eastAsia="Calibri" w:hAnsi="Calibri"/>
          <w:b/>
          <w:bCs/>
          <w:color w:val="0A0A0A"/>
          <w:sz w:val="21"/>
          <w:szCs w:val="21"/>
        </w:rPr>
        <w:t xml:space="preserve">Droit applicable : </w:t>
      </w:r>
      <w:r>
        <w:rPr>
          <w:rFonts w:ascii="Calibri" w:cs="Calibri" w:eastAsia="Calibri" w:hAnsi="Calibri"/>
          <w:color w:val="0A0A0A"/>
          <w:sz w:val="21"/>
          <w:szCs w:val="21"/>
        </w:rPr>
        <w:t xml:space="preserve">le présent contrat est régi par le droit anglais. Tout litige relève des tribunaux compétents d’Angleterre et du Pays de Galles.</w:t>
      </w:r>
    </w:p>
    <w:p>
      <w:pPr>
        <w:pStyle w:val="ListParagraph"/>
        <w:numPr>
          <w:ilvl w:val="0"/>
          <w:numId w:val="2"/>
        </w:numPr>
        <w:spacing w:after="88" w:line="264"/>
      </w:pPr>
      <w:r>
        <w:rPr>
          <w:rFonts w:ascii="Calibri" w:cs="Calibri" w:eastAsia="Calibri" w:hAnsi="Calibri"/>
          <w:color w:val="0A0A0A"/>
          <w:sz w:val="21"/>
          <w:szCs w:val="21"/>
        </w:rPr>
        <w:t xml:space="preserve">Intégralité : le contrat et ses annexes expriment l’intégralité de l’accord des Parties et remplacent tout échange antérieur.</w:t>
      </w:r>
    </w:p>
    <w:p>
      <w:pPr>
        <w:pStyle w:val="ListParagraph"/>
        <w:numPr>
          <w:ilvl w:val="0"/>
          <w:numId w:val="2"/>
        </w:numPr>
        <w:spacing w:after="88" w:line="264"/>
      </w:pPr>
      <w:r>
        <w:rPr>
          <w:rFonts w:ascii="Calibri" w:cs="Calibri" w:eastAsia="Calibri" w:hAnsi="Calibri"/>
          <w:color w:val="0A0A0A"/>
          <w:sz w:val="21"/>
          <w:szCs w:val="21"/>
        </w:rPr>
        <w:t xml:space="preserve">Avenants : toute modification fait l’objet d’un écrit signé des deux Parties.</w:t>
      </w:r>
    </w:p>
    <w:p>
      <w:pPr>
        <w:pStyle w:val="ListParagraph"/>
        <w:numPr>
          <w:ilvl w:val="0"/>
          <w:numId w:val="2"/>
        </w:numPr>
        <w:spacing w:after="88" w:line="264"/>
      </w:pPr>
      <w:r>
        <w:rPr>
          <w:rFonts w:ascii="Calibri" w:cs="Calibri" w:eastAsia="Calibri" w:hAnsi="Calibri"/>
          <w:color w:val="0A0A0A"/>
          <w:sz w:val="21"/>
          <w:szCs w:val="21"/>
        </w:rPr>
        <w:t xml:space="preserve">Indépendance des clauses : si une clause est jugée invalide, les autres demeurent applicables.</w:t>
      </w:r>
    </w:p>
    <w:p>
      <w:pPr>
        <w:pStyle w:val="Heading1"/>
        <w:spacing w:after="110" w:before="240"/>
      </w:pPr>
      <w:r>
        <w:rPr>
          <w:rFonts w:ascii="Calibri" w:cs="Calibri" w:eastAsia="Calibri" w:hAnsi="Calibri"/>
          <w:b/>
          <w:bCs/>
          <w:color w:val="0B1D33"/>
          <w:sz w:val="26"/>
          <w:szCs w:val="26"/>
        </w:rPr>
        <w:t xml:space="preserve">Signatures</w:t>
      </w:r>
    </w:p>
    <w:p>
      <w:pPr>
        <w:spacing w:after="120" w:line="264"/>
      </w:pPr>
      <w:r>
        <w:rPr>
          <w:rFonts w:ascii="Calibri" w:cs="Calibri" w:eastAsia="Calibri" w:hAnsi="Calibri"/>
          <w:color w:val="0A0A0A"/>
          <w:sz w:val="21"/>
          <w:szCs w:val="21"/>
        </w:rPr>
        <w:t xml:space="preserve">Fait à </w:t>
      </w:r>
      <w:r>
        <w:rPr>
          <w:rFonts w:ascii="Calibri" w:cs="Calibri" w:eastAsia="Calibri" w:hAnsi="Calibri"/>
          <w:b/>
          <w:bCs/>
          <w:color w:val="2563EB"/>
          <w:sz w:val="21"/>
          <w:szCs w:val="21"/>
        </w:rPr>
        <w:t xml:space="preserve">[Lieu]</w:t>
      </w:r>
      <w:r>
        <w:rPr>
          <w:rFonts w:ascii="Calibri" w:cs="Calibri" w:eastAsia="Calibri" w:hAnsi="Calibri"/>
          <w:color w:val="0A0A0A"/>
          <w:sz w:val="21"/>
          <w:szCs w:val="21"/>
        </w:rPr>
        <w:t xml:space="preserve">, </w:t>
      </w:r>
      <w:r>
        <w:rPr>
          <w:rFonts w:ascii="Calibri" w:cs="Calibri" w:eastAsia="Calibri" w:hAnsi="Calibri"/>
          <w:b/>
          <w:bCs/>
          <w:color w:val="2563EB"/>
          <w:sz w:val="21"/>
          <w:szCs w:val="21"/>
        </w:rPr>
        <w:t xml:space="preserve">[Date]</w:t>
      </w:r>
      <w:r>
        <w:rPr>
          <w:rFonts w:ascii="Calibri" w:cs="Calibri" w:eastAsia="Calibri" w:hAnsi="Calibri"/>
          <w:color w:val="0A0A0A"/>
          <w:sz w:val="21"/>
          <w:szCs w:val="21"/>
        </w:rPr>
        <w:t xml:space="preserve">.</w:t>
      </w:r>
    </w:p>
    <w:tbl>
      <w:tblPr>
        <w:tblW w:type="dxa" w:w="9360"/>
        <w:tblBorders>
          <w:top w:val="single" w:color="CBD5E1" w:sz="4"/>
          <w:left w:val="single" w:color="CBD5E1" w:sz="4"/>
          <w:bottom w:val="single" w:color="CBD5E1" w:sz="4"/>
          <w:right w:val="single" w:color="CBD5E1" w:sz="4"/>
          <w:insideH w:val="none" w:color="auto" w:sz="0"/>
          <w:insideV w:val="single" w:color="CBD5E1" w:sz="4"/>
        </w:tblBorders>
      </w:tblPr>
      <w:tblGrid>
        <w:gridCol w:w="4680"/>
        <w:gridCol w:w="4680"/>
      </w:tblGrid>
      <w:tr>
        <w:tc>
          <w:tcPr>
            <w:tcW w:type="dxa" w:w="4680"/>
            <w:tcMar>
              <w:top w:type="dxa" w:w="80"/>
              <w:left w:type="dxa" w:w="120"/>
              <w:bottom w:type="dxa" w:w="120"/>
              <w:right w:type="dxa" w:w="120"/>
            </w:tcMar>
          </w:tcPr>
          <w:p>
            <w:pPr>
              <w:spacing w:after="140"/>
            </w:pPr>
            <w:r>
              <w:rPr>
                <w:rFonts w:ascii="Calibri" w:cs="Calibri" w:eastAsia="Calibri" w:hAnsi="Calibri"/>
                <w:b/>
                <w:bCs/>
                <w:color w:val="0B1D33"/>
                <w:sz w:val="20"/>
                <w:szCs w:val="20"/>
              </w:rPr>
              <w:t xml:space="preserve">Le Prestataire</w:t>
            </w:r>
          </w:p>
          <w:p>
            <w:pPr>
              <w:spacing w:after="140"/>
            </w:pPr>
            <w:r>
              <w:rPr>
                <w:rFonts w:ascii="Calibri" w:cs="Calibri" w:eastAsia="Calibri" w:hAnsi="Calibri"/>
                <w:b w:val="false"/>
                <w:bCs w:val="false"/>
                <w:color w:val="0A0A0A"/>
                <w:sz w:val="20"/>
                <w:szCs w:val="20"/>
              </w:rPr>
              <w:t xml:space="preserve">Pour Girlden LTD (GILD-TECH)</w:t>
            </w:r>
          </w:p>
          <w:p>
            <w:pPr>
              <w:spacing w:after="140"/>
            </w:pPr>
            <w:r>
              <w:rPr>
                <w:rFonts w:ascii="Calibri" w:cs="Calibri" w:eastAsia="Calibri" w:hAnsi="Calibri"/>
                <w:b w:val="false"/>
                <w:bCs w:val="false"/>
                <w:color w:val="2563EB"/>
                <w:sz w:val="20"/>
                <w:szCs w:val="20"/>
              </w:rPr>
              <w:t xml:space="preserve">Nom : [Nom]</w:t>
            </w:r>
          </w:p>
          <w:p>
            <w:pPr>
              <w:spacing w:after="140"/>
            </w:pPr>
            <w:r>
              <w:rPr>
                <w:rFonts w:ascii="Calibri" w:cs="Calibri" w:eastAsia="Calibri" w:hAnsi="Calibri"/>
                <w:b w:val="false"/>
                <w:bCs w:val="false"/>
                <w:color w:val="2563EB"/>
                <w:sz w:val="20"/>
                <w:szCs w:val="20"/>
              </w:rPr>
              <w:t xml:space="preserve">Qualité : [Qualité]</w:t>
            </w:r>
          </w:p>
          <w:p>
            <w:pPr>
              <w:spacing w:after="140"/>
            </w:pPr>
            <w:r>
              <w:rPr>
                <w:rFonts w:ascii="Calibri" w:cs="Calibri" w:eastAsia="Calibri" w:hAnsi="Calibri"/>
                <w:b w:val="false"/>
                <w:bCs w:val="false"/>
                <w:color w:val="0A0A0A"/>
                <w:sz w:val="20"/>
                <w:szCs w:val="20"/>
              </w:rPr>
              <w:t xml:space="preserve">Signature :</w:t>
            </w:r>
          </w:p>
          <w:p>
            <w:pPr>
              <w:spacing w:after="140"/>
            </w:pPr>
            <w:r>
              <w:rPr>
                <w:rFonts w:ascii="Calibri" w:cs="Calibri" w:eastAsia="Calibri" w:hAnsi="Calibri"/>
                <w:b w:val="false"/>
                <w:bCs w:val="false"/>
                <w:color w:val="0A0A0A"/>
                <w:sz w:val="20"/>
                <w:szCs w:val="20"/>
              </w:rPr>
              <w:t xml:space="preserve"> </w:t>
            </w:r>
          </w:p>
          <w:p>
            <w:pPr>
              <w:spacing w:after="140"/>
            </w:pPr>
            <w:r>
              <w:rPr>
                <w:rFonts w:ascii="Calibri" w:cs="Calibri" w:eastAsia="Calibri" w:hAnsi="Calibri"/>
                <w:b w:val="false"/>
                <w:bCs w:val="false"/>
                <w:color w:val="0A0A0A"/>
                <w:sz w:val="20"/>
                <w:szCs w:val="20"/>
              </w:rPr>
              <w:t xml:space="preserve"> </w:t>
            </w:r>
          </w:p>
        </w:tc>
        <w:tc>
          <w:tcPr>
            <w:tcW w:type="dxa" w:w="4680"/>
            <w:tcMar>
              <w:top w:type="dxa" w:w="80"/>
              <w:left w:type="dxa" w:w="120"/>
              <w:bottom w:type="dxa" w:w="120"/>
              <w:right w:type="dxa" w:w="120"/>
            </w:tcMar>
          </w:tcPr>
          <w:p>
            <w:pPr>
              <w:spacing w:after="140"/>
            </w:pPr>
            <w:r>
              <w:rPr>
                <w:rFonts w:ascii="Calibri" w:cs="Calibri" w:eastAsia="Calibri" w:hAnsi="Calibri"/>
                <w:b/>
                <w:bCs/>
                <w:color w:val="0B1D33"/>
                <w:sz w:val="20"/>
                <w:szCs w:val="20"/>
              </w:rPr>
              <w:t xml:space="preserve">Le Client</w:t>
            </w:r>
          </w:p>
          <w:p>
            <w:pPr>
              <w:spacing w:after="140"/>
            </w:pPr>
            <w:r>
              <w:rPr>
                <w:rFonts w:ascii="Calibri" w:cs="Calibri" w:eastAsia="Calibri" w:hAnsi="Calibri"/>
                <w:b w:val="false"/>
                <w:bCs w:val="false"/>
                <w:color w:val="2563EB"/>
                <w:sz w:val="20"/>
                <w:szCs w:val="20"/>
              </w:rPr>
              <w:t xml:space="preserve">Pour [Raison sociale du client]</w:t>
            </w:r>
          </w:p>
          <w:p>
            <w:pPr>
              <w:spacing w:after="140"/>
            </w:pPr>
            <w:r>
              <w:rPr>
                <w:rFonts w:ascii="Calibri" w:cs="Calibri" w:eastAsia="Calibri" w:hAnsi="Calibri"/>
                <w:b w:val="false"/>
                <w:bCs w:val="false"/>
                <w:color w:val="2563EB"/>
                <w:sz w:val="20"/>
                <w:szCs w:val="20"/>
              </w:rPr>
              <w:t xml:space="preserve">Nom : [Nom]</w:t>
            </w:r>
          </w:p>
          <w:p>
            <w:pPr>
              <w:spacing w:after="140"/>
            </w:pPr>
            <w:r>
              <w:rPr>
                <w:rFonts w:ascii="Calibri" w:cs="Calibri" w:eastAsia="Calibri" w:hAnsi="Calibri"/>
                <w:b w:val="false"/>
                <w:bCs w:val="false"/>
                <w:color w:val="2563EB"/>
                <w:sz w:val="20"/>
                <w:szCs w:val="20"/>
              </w:rPr>
              <w:t xml:space="preserve">Qualité : [Qualité]</w:t>
            </w:r>
          </w:p>
          <w:p>
            <w:pPr>
              <w:spacing w:after="140"/>
            </w:pPr>
            <w:r>
              <w:rPr>
                <w:rFonts w:ascii="Calibri" w:cs="Calibri" w:eastAsia="Calibri" w:hAnsi="Calibri"/>
                <w:b w:val="false"/>
                <w:bCs w:val="false"/>
                <w:color w:val="0A0A0A"/>
                <w:sz w:val="20"/>
                <w:szCs w:val="20"/>
              </w:rPr>
              <w:t xml:space="preserve">Signature :</w:t>
            </w:r>
          </w:p>
          <w:p>
            <w:pPr>
              <w:spacing w:after="140"/>
            </w:pPr>
            <w:r>
              <w:rPr>
                <w:rFonts w:ascii="Calibri" w:cs="Calibri" w:eastAsia="Calibri" w:hAnsi="Calibri"/>
                <w:b w:val="false"/>
                <w:bCs w:val="false"/>
                <w:color w:val="0A0A0A"/>
                <w:sz w:val="20"/>
                <w:szCs w:val="20"/>
              </w:rPr>
              <w:t xml:space="preserve"> </w:t>
            </w:r>
          </w:p>
          <w:p>
            <w:pPr>
              <w:spacing w:after="140"/>
            </w:pPr>
            <w:r>
              <w:rPr>
                <w:rFonts w:ascii="Calibri" w:cs="Calibri" w:eastAsia="Calibri" w:hAnsi="Calibri"/>
                <w:b w:val="false"/>
                <w:bCs w:val="false"/>
                <w:color w:val="0A0A0A"/>
                <w:sz w:val="20"/>
                <w:szCs w:val="20"/>
              </w:rPr>
              <w:t xml:space="preserve"> </w:t>
            </w:r>
          </w:p>
        </w:tc>
      </w:tr>
    </w:tbl>
    <w:sectPr>
      <w:headerReference w:type="default" r:id="rId7"/>
      <w:footerReference w:type="default" r:id="rId8"/>
      <w:pgSz w:w="11906" w:h="16838" w:orient="portrait"/>
      <w:pgMar w:top="14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6"/>
      </w:pBdr>
      <w:jc w:val="center"/>
    </w:pPr>
    <w:r>
      <w:rPr>
        <w:rFonts w:ascii="Calibri" w:cs="Calibri" w:eastAsia="Calibri" w:hAnsi="Calibri"/>
        <w:color w:val="64748B"/>
        <w:sz w:val="15"/>
        <w:szCs w:val="15"/>
      </w:rPr>
      <w:t xml:space="preserve">Girlden LTD, Contrat de service GILD-TECH, </w:t>
    </w:r>
    <w:r>
      <w:rPr>
        <w:rFonts w:ascii="Calibri" w:cs="Calibri" w:eastAsia="Calibri" w:hAnsi="Calibri"/>
        <w:color w:val="64748B"/>
        <w:sz w:val="15"/>
        <w:szCs w:val="15"/>
      </w:rPr>
      <w:t xml:space="preserve">page </w:t>
    </w:r>
    <w:r>
      <w:rPr>
        <w:rFonts w:ascii="Calibri" w:cs="Calibri" w:eastAsia="Calibri" w:hAnsi="Calibri"/>
        <w:color w:val="64748B"/>
        <w:sz w:val="15"/>
        <w:szCs w:val="15"/>
      </w:rPr>
      <w:fldChar w:fldCharType="begin"/>
      <w:instrText xml:space="preserve">PAGE</w:instrText>
      <w:fldChar w:fldCharType="separate"/>
      <w:fldChar w:fldCharType="end"/>
    </w:r>
    <w:r>
      <w:rPr>
        <w:rFonts w:ascii="Calibri" w:cs="Calibri" w:eastAsia="Calibri" w:hAnsi="Calibri"/>
        <w:color w:val="64748B"/>
        <w:sz w:val="15"/>
        <w:szCs w:val="15"/>
      </w:rPr>
      <w:t xml:space="preserve"> / </w:t>
    </w:r>
    <w:r>
      <w:rPr>
        <w:rFonts w:ascii="Calibri" w:cs="Calibri" w:eastAsia="Calibri" w:hAnsi="Calibri"/>
        <w:color w:val="64748B"/>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Calibri" w:cs="Calibri" w:eastAsia="Calibri" w:hAnsi="Calibri"/>
        <w:b/>
        <w:bCs/>
        <w:color w:val="2563EB"/>
        <w:sz w:val="30"/>
        <w:szCs w:val="30"/>
      </w:rPr>
      <w:t xml:space="preserve">GILD-TECH</w:t>
    </w:r>
  </w:p>
  <w:p>
    <w:pPr>
      <w:pBdr>
        <w:bottom w:val="single" w:color="2563EB" w:sz="8"/>
      </w:pBdr>
      <w:spacing w:after="60"/>
    </w:pPr>
    <w:r>
      <w:rPr>
        <w:rFonts w:ascii="Calibri" w:cs="Calibri" w:eastAsia="Calibri" w:hAnsi="Calibri"/>
        <w:color w:val="64748B"/>
        <w:sz w:val="15"/>
        <w:szCs w:val="15"/>
      </w:rPr>
      <w:t xml:space="preserve">Girlden LTD, CRN 14837617, 71-75 Shelton Street, Covent Garden, London WC2H 9JQ</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2563E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A0A0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 DE SERVICE — Template</dc:title>
  <dc:creator>Girlden LTD</dc:creator>
  <cp:lastModifiedBy>Un-named</cp:lastModifiedBy>
  <cp:revision>1</cp:revision>
  <dcterms:created xsi:type="dcterms:W3CDTF">2026-09-08T11:36:38.213Z</dcterms:created>
  <dcterms:modified xsi:type="dcterms:W3CDTF">2026-09-08T11:36:38.354Z</dcterms:modified>
</cp:coreProperties>
</file>

<file path=docProps/custom.xml><?xml version="1.0" encoding="utf-8"?>
<Properties xmlns="http://schemas.openxmlformats.org/officeDocument/2006/custom-properties" xmlns:vt="http://schemas.openxmlformats.org/officeDocument/2006/docPropsVTypes"/>
</file>