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pPr>
      <w:r>
        <w:rPr>
          <w:rFonts w:ascii="Calibri" w:cs="Calibri" w:eastAsia="Calibri" w:hAnsi="Calibri"/>
          <w:b/>
          <w:bCs/>
          <w:color w:val="0B1D33"/>
          <w:sz w:val="34"/>
          <w:szCs w:val="34"/>
        </w:rPr>
        <w:t xml:space="preserve">SERVICE AGREEMENT</w:t>
      </w:r>
    </w:p>
    <w:p>
      <w:pPr>
        <w:spacing w:after="120" w:line="264"/>
      </w:pPr>
      <w:r>
        <w:rPr>
          <w:rFonts w:ascii="Calibri" w:cs="Calibri" w:eastAsia="Calibri" w:hAnsi="Calibri"/>
          <w:i/>
          <w:iCs/>
          <w:color w:val="64748B"/>
          <w:sz w:val="22"/>
          <w:szCs w:val="22"/>
        </w:rPr>
        <w:t xml:space="preserve">"Sarah" AI assistant: inbound enquiry qualification and follow-up</w:t>
      </w:r>
    </w:p>
    <w:p>
      <w:pPr>
        <w:pBdr>
          <w:bottom w:val="single" w:color="CBD5E1" w:sz="6"/>
        </w:pBdr>
        <w:spacing w:after="120" w:before="60"/>
      </w:pPr>
      <w:r>
        <w:rPr>
          <w:rFonts w:ascii="Calibri" w:cs="Calibri" w:eastAsia="Calibri" w:hAnsi="Calibri"/>
          <w:color w:val="0A0A0A"/>
          <w:sz w:val="21"/>
          <w:szCs w:val="21"/>
        </w:rPr>
        <w:t xml:space="preserve"/>
      </w:r>
    </w:p>
    <w:p>
      <w:pPr>
        <w:spacing w:after="120" w:line="264"/>
      </w:pPr>
      <w:r>
        <w:rPr>
          <w:rFonts w:ascii="Calibri" w:cs="Calibri" w:eastAsia="Calibri" w:hAnsi="Calibri"/>
          <w:b/>
          <w:bCs/>
          <w:color w:val="0B1D33"/>
          <w:sz w:val="21"/>
          <w:szCs w:val="21"/>
        </w:rPr>
        <w:t xml:space="preserve">BETWEEN</w:t>
      </w:r>
    </w:p>
    <w:p>
      <w:pPr>
        <w:spacing w:after="120" w:line="264"/>
      </w:pPr>
      <w:r>
        <w:rPr>
          <w:rFonts w:ascii="Calibri" w:cs="Calibri" w:eastAsia="Calibri" w:hAnsi="Calibri"/>
          <w:b/>
          <w:bCs/>
          <w:color w:val="0B1D33"/>
          <w:sz w:val="21"/>
          <w:szCs w:val="21"/>
        </w:rPr>
        <w:t xml:space="preserve">The Provider</w:t>
      </w:r>
    </w:p>
    <w:p>
      <w:pPr>
        <w:spacing w:after="120" w:line="264"/>
      </w:pPr>
      <w:r>
        <w:rPr>
          <w:rFonts w:ascii="Calibri" w:cs="Calibri" w:eastAsia="Calibri" w:hAnsi="Calibri"/>
          <w:color w:val="0A0A0A"/>
          <w:sz w:val="21"/>
          <w:szCs w:val="21"/>
        </w:rPr>
        <w:t xml:space="preserve">Girlden LTD, a company incorporated in England (Private Limited Company). Company number (CRN): 14837617.</w:t>
      </w:r>
    </w:p>
    <w:p>
      <w:pPr>
        <w:spacing w:after="120" w:line="264"/>
      </w:pPr>
      <w:r>
        <w:rPr>
          <w:rFonts w:ascii="Calibri" w:cs="Calibri" w:eastAsia="Calibri" w:hAnsi="Calibri"/>
          <w:color w:val="0A0A0A"/>
          <w:sz w:val="21"/>
          <w:szCs w:val="21"/>
        </w:rPr>
        <w:t xml:space="preserve">Registered office: 71-75 Shelton Street, Covent Garden, London, WC2H 9JQ, United Kingdom.</w:t>
      </w:r>
    </w:p>
    <w:p>
      <w:pPr>
        <w:spacing w:after="120" w:line="264"/>
      </w:pPr>
      <w:r>
        <w:rPr>
          <w:rFonts w:ascii="Calibri" w:cs="Calibri" w:eastAsia="Calibri" w:hAnsi="Calibri"/>
          <w:color w:val="0A0A0A"/>
          <w:sz w:val="21"/>
          <w:szCs w:val="21"/>
        </w:rPr>
        <w:t xml:space="preserve">Trading as GILD-TECH. Referred to as "the Provider".</w:t>
      </w:r>
    </w:p>
    <w:p>
      <w:pPr>
        <w:spacing w:after="60" w:before="120"/>
      </w:pPr>
      <w:r>
        <w:rPr>
          <w:rFonts w:ascii="Calibri" w:cs="Calibri" w:eastAsia="Calibri" w:hAnsi="Calibri"/>
          <w:b/>
          <w:bCs/>
          <w:color w:val="0A0A0A"/>
          <w:sz w:val="21"/>
          <w:szCs w:val="21"/>
        </w:rPr>
        <w:t xml:space="preserve">The Client</w:t>
      </w:r>
    </w:p>
    <w:p>
      <w:pPr>
        <w:spacing w:after="120" w:line="264"/>
      </w:pPr>
      <w:r>
        <w:rPr>
          <w:rFonts w:ascii="Calibri" w:cs="Calibri" w:eastAsia="Calibri" w:hAnsi="Calibri"/>
          <w:b/>
          <w:bCs/>
          <w:color w:val="0A0A0A"/>
          <w:sz w:val="21"/>
          <w:szCs w:val="21"/>
        </w:rPr>
        <w:t xml:space="preserve">Legal name: </w:t>
      </w:r>
      <w:r>
        <w:rPr>
          <w:rFonts w:ascii="Calibri" w:cs="Calibri" w:eastAsia="Calibri" w:hAnsi="Calibri"/>
          <w:b/>
          <w:bCs/>
          <w:color w:val="2563EB"/>
          <w:sz w:val="21"/>
          <w:szCs w:val="21"/>
        </w:rPr>
        <w:t xml:space="preserve">[Client legal name]</w:t>
      </w:r>
    </w:p>
    <w:p>
      <w:pPr>
        <w:spacing w:after="120" w:line="264"/>
      </w:pPr>
      <w:r>
        <w:rPr>
          <w:rFonts w:ascii="Calibri" w:cs="Calibri" w:eastAsia="Calibri" w:hAnsi="Calibri"/>
          <w:b/>
          <w:bCs/>
          <w:color w:val="0A0A0A"/>
          <w:sz w:val="21"/>
          <w:szCs w:val="21"/>
        </w:rPr>
        <w:t xml:space="preserve">Legal form / registration: </w:t>
      </w:r>
      <w:r>
        <w:rPr>
          <w:rFonts w:ascii="Calibri" w:cs="Calibri" w:eastAsia="Calibri" w:hAnsi="Calibri"/>
          <w:b/>
          <w:bCs/>
          <w:color w:val="2563EB"/>
          <w:sz w:val="21"/>
          <w:szCs w:val="21"/>
        </w:rPr>
        <w:t xml:space="preserve">[Legal form / registration no.]</w:t>
      </w:r>
    </w:p>
    <w:p>
      <w:pPr>
        <w:spacing w:after="120" w:line="264"/>
      </w:pPr>
      <w:r>
        <w:rPr>
          <w:rFonts w:ascii="Calibri" w:cs="Calibri" w:eastAsia="Calibri" w:hAnsi="Calibri"/>
          <w:b/>
          <w:bCs/>
          <w:color w:val="0A0A0A"/>
          <w:sz w:val="21"/>
          <w:szCs w:val="21"/>
        </w:rPr>
        <w:t xml:space="preserve">Address: </w:t>
      </w:r>
      <w:r>
        <w:rPr>
          <w:rFonts w:ascii="Calibri" w:cs="Calibri" w:eastAsia="Calibri" w:hAnsi="Calibri"/>
          <w:b/>
          <w:bCs/>
          <w:color w:val="2563EB"/>
          <w:sz w:val="21"/>
          <w:szCs w:val="21"/>
        </w:rPr>
        <w:t xml:space="preserve">[Client address]</w:t>
      </w:r>
    </w:p>
    <w:p>
      <w:pPr>
        <w:spacing w:after="120" w:line="264"/>
      </w:pPr>
      <w:r>
        <w:rPr>
          <w:rFonts w:ascii="Calibri" w:cs="Calibri" w:eastAsia="Calibri" w:hAnsi="Calibri"/>
          <w:b/>
          <w:bCs/>
          <w:color w:val="0A0A0A"/>
          <w:sz w:val="21"/>
          <w:szCs w:val="21"/>
        </w:rPr>
        <w:t xml:space="preserve">Represented by: </w:t>
      </w:r>
      <w:r>
        <w:rPr>
          <w:rFonts w:ascii="Calibri" w:cs="Calibri" w:eastAsia="Calibri" w:hAnsi="Calibri"/>
          <w:b/>
          <w:bCs/>
          <w:color w:val="2563EB"/>
          <w:sz w:val="21"/>
          <w:szCs w:val="21"/>
        </w:rPr>
        <w:t xml:space="preserve">[Representative name]  (title: [Title])</w:t>
      </w:r>
    </w:p>
    <w:p>
      <w:pPr>
        <w:spacing w:after="120" w:line="264"/>
      </w:pPr>
      <w:r>
        <w:rPr>
          <w:rFonts w:ascii="Calibri" w:cs="Calibri" w:eastAsia="Calibri" w:hAnsi="Calibri"/>
          <w:b/>
          <w:bCs/>
          <w:color w:val="0A0A0A"/>
          <w:sz w:val="21"/>
          <w:szCs w:val="21"/>
        </w:rPr>
        <w:t xml:space="preserve">Email / Phone: </w:t>
      </w:r>
      <w:r>
        <w:rPr>
          <w:rFonts w:ascii="Calibri" w:cs="Calibri" w:eastAsia="Calibri" w:hAnsi="Calibri"/>
          <w:b/>
          <w:bCs/>
          <w:color w:val="2563EB"/>
          <w:sz w:val="21"/>
          <w:szCs w:val="21"/>
        </w:rPr>
        <w:t xml:space="preserve">[Email]  /  [Phone]</w:t>
      </w:r>
    </w:p>
    <w:p>
      <w:pPr>
        <w:spacing w:after="120" w:line="264"/>
      </w:pPr>
      <w:r>
        <w:rPr>
          <w:rFonts w:ascii="Calibri" w:cs="Calibri" w:eastAsia="Calibri" w:hAnsi="Calibri"/>
          <w:color w:val="0A0A0A"/>
          <w:sz w:val="21"/>
          <w:szCs w:val="21"/>
        </w:rPr>
        <w:t xml:space="preserve">Referred to as "the Client". Together, "the Parties".</w:t>
      </w:r>
    </w:p>
    <w:p>
      <w:pPr>
        <w:pBdr>
          <w:bottom w:val="single" w:color="CBD5E1" w:sz="6"/>
        </w:pBdr>
        <w:spacing w:after="120" w:before="60"/>
      </w:pPr>
      <w:r>
        <w:rPr>
          <w:rFonts w:ascii="Calibri" w:cs="Calibri" w:eastAsia="Calibri" w:hAnsi="Calibri"/>
          <w:color w:val="0A0A0A"/>
          <w:sz w:val="21"/>
          <w:szCs w:val="21"/>
        </w:rPr>
        <w:t xml:space="preserve"/>
      </w:r>
    </w:p>
    <w:p>
      <w:pPr>
        <w:pStyle w:val="Heading1"/>
        <w:spacing w:after="110" w:before="240"/>
      </w:pPr>
      <w:r>
        <w:rPr>
          <w:rFonts w:ascii="Calibri" w:cs="Calibri" w:eastAsia="Calibri" w:hAnsi="Calibri"/>
          <w:b/>
          <w:bCs/>
          <w:color w:val="0B1D33"/>
          <w:sz w:val="26"/>
          <w:szCs w:val="26"/>
        </w:rPr>
        <w:t xml:space="preserve">1. Purpose</w:t>
      </w:r>
    </w:p>
    <w:p>
      <w:pPr>
        <w:spacing w:after="120" w:line="264"/>
      </w:pPr>
      <w:r>
        <w:rPr>
          <w:rFonts w:ascii="Calibri" w:cs="Calibri" w:eastAsia="Calibri" w:hAnsi="Calibri"/>
          <w:color w:val="0A0A0A"/>
          <w:sz w:val="21"/>
          <w:szCs w:val="21"/>
        </w:rPr>
        <w:t xml:space="preserve">The Provider makes available to the Client "Sarah", an automated conversational assistant that replies to the Client’s inbound enquiries on WhatsApp, qualifies them (property type, area, budget, timeline) and organises follow-up to the Client’s agents.</w:t>
      </w:r>
    </w:p>
    <w:p>
      <w:pPr>
        <w:spacing w:after="120" w:line="264"/>
      </w:pPr>
      <w:r>
        <w:rPr>
          <w:rFonts w:ascii="Calibri" w:cs="Calibri" w:eastAsia="Calibri" w:hAnsi="Calibri"/>
          <w:b/>
          <w:bCs/>
          <w:color w:val="0A0A0A"/>
          <w:sz w:val="21"/>
          <w:szCs w:val="21"/>
        </w:rPr>
        <w:t xml:space="preserve">Selected plan: </w:t>
      </w:r>
      <w:r>
        <w:rPr>
          <w:rFonts w:ascii="Calibri" w:cs="Calibri" w:eastAsia="Calibri" w:hAnsi="Calibri"/>
          <w:b/>
          <w:bCs/>
          <w:color w:val="2563EB"/>
          <w:sz w:val="21"/>
          <w:szCs w:val="21"/>
        </w:rPr>
        <w:t xml:space="preserve">[Plan: RESPOND / CONVERT / DOMINATE]</w:t>
      </w:r>
    </w:p>
    <w:p>
      <w:pPr>
        <w:spacing w:after="120" w:line="264"/>
      </w:pPr>
      <w:r>
        <w:rPr>
          <w:rFonts w:ascii="Calibri" w:cs="Calibri" w:eastAsia="Calibri" w:hAnsi="Calibri"/>
          <w:i/>
          <w:iCs/>
          <w:color w:val="64748B"/>
          <w:sz w:val="19"/>
          <w:szCs w:val="19"/>
        </w:rPr>
        <w:t xml:space="preserve">RESPOND (Capture tier), CONVERT (Convert tier), DOMINATE (Develop tier, scope set out in an appendix). The scope of the selected plan is set out in clause 2.</w:t>
      </w:r>
    </w:p>
    <w:p>
      <w:pPr>
        <w:pStyle w:val="Heading1"/>
        <w:spacing w:after="110" w:before="240"/>
      </w:pPr>
      <w:r>
        <w:rPr>
          <w:rFonts w:ascii="Calibri" w:cs="Calibri" w:eastAsia="Calibri" w:hAnsi="Calibri"/>
          <w:b/>
          <w:bCs/>
          <w:color w:val="0B1D33"/>
          <w:sz w:val="26"/>
          <w:szCs w:val="26"/>
        </w:rPr>
        <w:t xml:space="preserve">2. Scope of services</w:t>
      </w:r>
    </w:p>
    <w:p>
      <w:pPr>
        <w:spacing w:after="120" w:line="264"/>
      </w:pPr>
      <w:r>
        <w:rPr>
          <w:rFonts w:ascii="Calibri" w:cs="Calibri" w:eastAsia="Calibri" w:hAnsi="Calibri"/>
          <w:color w:val="0A0A0A"/>
          <w:sz w:val="21"/>
          <w:szCs w:val="21"/>
        </w:rPr>
        <w:t xml:space="preserve">The Provider commits to what is described below, and only to that. Any feature not listed is out of scope.</w:t>
      </w:r>
    </w:p>
    <w:p>
      <w:pPr>
        <w:spacing w:after="120" w:line="264"/>
      </w:pPr>
      <w:r>
        <w:rPr>
          <w:rFonts w:ascii="Calibri" w:cs="Calibri" w:eastAsia="Calibri" w:hAnsi="Calibri"/>
          <w:b/>
          <w:bCs/>
          <w:color w:val="0B1D33"/>
          <w:sz w:val="21"/>
          <w:szCs w:val="21"/>
        </w:rPr>
        <w:t xml:space="preserve">2.1  RESPOND: included and live from go-live</w:t>
      </w:r>
    </w:p>
    <w:p>
      <w:pPr>
        <w:pStyle w:val="ListParagraph"/>
        <w:numPr>
          <w:ilvl w:val="0"/>
          <w:numId w:val="2"/>
        </w:numPr>
        <w:spacing w:after="88" w:line="264"/>
      </w:pPr>
      <w:r>
        <w:rPr>
          <w:rFonts w:ascii="Calibri" w:cs="Calibri" w:eastAsia="Calibri" w:hAnsi="Calibri"/>
          <w:color w:val="0A0A0A"/>
          <w:sz w:val="21"/>
          <w:szCs w:val="21"/>
        </w:rPr>
        <w:t xml:space="preserve">Automated replies to inbound enquiries on WhatsApp, 24/7, within a target of a few minutes.</w:t>
      </w:r>
    </w:p>
    <w:p>
      <w:pPr>
        <w:pStyle w:val="ListParagraph"/>
        <w:numPr>
          <w:ilvl w:val="0"/>
          <w:numId w:val="2"/>
        </w:numPr>
        <w:spacing w:after="88" w:line="264"/>
      </w:pPr>
      <w:r>
        <w:rPr>
          <w:rFonts w:ascii="Calibri" w:cs="Calibri" w:eastAsia="Calibri" w:hAnsi="Calibri"/>
          <w:color w:val="0A0A0A"/>
          <w:sz w:val="21"/>
          <w:szCs w:val="21"/>
        </w:rPr>
        <w:t xml:space="preserve">Qualification conversation in natural language, in French, English, Dutch and Russian (Thai available in writing; voice is not included, see 2.4).</w:t>
      </w:r>
    </w:p>
    <w:p>
      <w:pPr>
        <w:pStyle w:val="ListParagraph"/>
        <w:numPr>
          <w:ilvl w:val="0"/>
          <w:numId w:val="2"/>
        </w:numPr>
        <w:spacing w:after="88" w:line="264"/>
      </w:pPr>
      <w:r>
        <w:rPr>
          <w:rFonts w:ascii="Calibri" w:cs="Calibri" w:eastAsia="Calibri" w:hAnsi="Calibri"/>
          <w:color w:val="0A0A0A"/>
          <w:sz w:val="21"/>
          <w:szCs w:val="21"/>
        </w:rPr>
        <w:t xml:space="preserve">Capture of the key details: property type sought, area, indicative budget, timeline.</w:t>
      </w:r>
    </w:p>
    <w:p>
      <w:pPr>
        <w:pStyle w:val="ListParagraph"/>
        <w:numPr>
          <w:ilvl w:val="0"/>
          <w:numId w:val="2"/>
        </w:numPr>
        <w:spacing w:after="88" w:line="264"/>
      </w:pPr>
      <w:r>
        <w:rPr>
          <w:rFonts w:ascii="Calibri" w:cs="Calibri" w:eastAsia="Calibri" w:hAnsi="Calibri"/>
          <w:color w:val="0A0A0A"/>
          <w:sz w:val="21"/>
          <w:szCs w:val="21"/>
        </w:rPr>
        <w:t xml:space="preserve">Proposal of an appointment slot via the Client’s booking link (configured at onboarding).</w:t>
      </w:r>
    </w:p>
    <w:p>
      <w:pPr>
        <w:pStyle w:val="ListParagraph"/>
        <w:numPr>
          <w:ilvl w:val="0"/>
          <w:numId w:val="2"/>
        </w:numPr>
        <w:spacing w:after="88" w:line="264"/>
      </w:pPr>
      <w:r>
        <w:rPr>
          <w:rFonts w:ascii="Calibri" w:cs="Calibri" w:eastAsia="Calibri" w:hAnsi="Calibri"/>
          <w:color w:val="0A0A0A"/>
          <w:sz w:val="21"/>
          <w:szCs w:val="21"/>
        </w:rPr>
        <w:t xml:space="preserve">Logging of each enquiry and its qualification into a spreadsheet (CRM) provided.</w:t>
      </w:r>
    </w:p>
    <w:p>
      <w:pPr>
        <w:pStyle w:val="ListParagraph"/>
        <w:numPr>
          <w:ilvl w:val="0"/>
          <w:numId w:val="2"/>
        </w:numPr>
        <w:spacing w:after="88" w:line="264"/>
      </w:pPr>
      <w:r>
        <w:rPr>
          <w:rFonts w:ascii="Calibri" w:cs="Calibri" w:eastAsia="Calibri" w:hAnsi="Calibri"/>
          <w:color w:val="0A0A0A"/>
          <w:sz w:val="21"/>
          <w:szCs w:val="21"/>
        </w:rPr>
        <w:t xml:space="preserve">Handover summary sent to the relevant agent on WhatsApp.</w:t>
      </w:r>
    </w:p>
    <w:p>
      <w:pPr>
        <w:pStyle w:val="ListParagraph"/>
        <w:numPr>
          <w:ilvl w:val="0"/>
          <w:numId w:val="2"/>
        </w:numPr>
        <w:spacing w:after="88" w:line="264"/>
      </w:pPr>
      <w:r>
        <w:rPr>
          <w:rFonts w:ascii="Calibri" w:cs="Calibri" w:eastAsia="Calibri" w:hAnsi="Calibri"/>
          <w:color w:val="0A0A0A"/>
          <w:sz w:val="21"/>
          <w:szCs w:val="21"/>
        </w:rPr>
        <w:t xml:space="preserve">Built-in safeguards: Sarah never invents figures (price, size), stays on the WhatsApp channel, and writes a recap before any handover.</w:t>
      </w:r>
    </w:p>
    <w:p>
      <w:pPr>
        <w:spacing w:after="120" w:line="264"/>
      </w:pPr>
      <w:r>
        <w:rPr>
          <w:rFonts w:ascii="Calibri" w:cs="Calibri" w:eastAsia="Calibri" w:hAnsi="Calibri"/>
          <w:b/>
          <w:bCs/>
          <w:color w:val="0B1D33"/>
          <w:sz w:val="21"/>
          <w:szCs w:val="21"/>
        </w:rPr>
        <w:t xml:space="preserve">2.2  CONVERT: included in addition to RESPOND</w:t>
      </w:r>
    </w:p>
    <w:p>
      <w:pPr>
        <w:pStyle w:val="ListParagraph"/>
        <w:numPr>
          <w:ilvl w:val="0"/>
          <w:numId w:val="2"/>
        </w:numPr>
        <w:spacing w:after="88" w:line="264"/>
      </w:pPr>
      <w:r>
        <w:rPr>
          <w:rFonts w:ascii="Calibri" w:cs="Calibri" w:eastAsia="Calibri" w:hAnsi="Calibri"/>
          <w:color w:val="0A0A0A"/>
          <w:sz w:val="21"/>
          <w:szCs w:val="21"/>
        </w:rPr>
        <w:t xml:space="preserve">Automated follow-ups of enquiries left unanswered (multi-touch sequence, no-show prevention).</w:t>
      </w:r>
    </w:p>
    <w:p>
      <w:pPr>
        <w:pStyle w:val="ListParagraph"/>
        <w:numPr>
          <w:ilvl w:val="0"/>
          <w:numId w:val="2"/>
        </w:numPr>
        <w:spacing w:after="88" w:line="264"/>
      </w:pPr>
      <w:r>
        <w:rPr>
          <w:rFonts w:ascii="Calibri" w:cs="Calibri" w:eastAsia="Calibri" w:hAnsi="Calibri"/>
          <w:color w:val="0A0A0A"/>
          <w:sz w:val="21"/>
          <w:szCs w:val="21"/>
        </w:rPr>
        <w:t xml:space="preserve">Automatic routing of enquiries to the right agent by area (routing / rotation).</w:t>
      </w:r>
    </w:p>
    <w:p>
      <w:pPr>
        <w:pStyle w:val="ListParagraph"/>
        <w:numPr>
          <w:ilvl w:val="0"/>
          <w:numId w:val="2"/>
        </w:numPr>
        <w:spacing w:after="88" w:line="264"/>
      </w:pPr>
      <w:r>
        <w:rPr>
          <w:rFonts w:ascii="Calibri" w:cs="Calibri" w:eastAsia="Calibri" w:hAnsi="Calibri"/>
          <w:color w:val="0A0A0A"/>
          <w:sz w:val="21"/>
          <w:szCs w:val="21"/>
        </w:rPr>
        <w:t xml:space="preserve">Linking an enquiry to a property in the portfolio and email notifications to the agency: these two items are set up and switched on during onboarding, at the pace of the Client’s configuration (they are not live in the first minute).</w:t>
      </w:r>
    </w:p>
    <w:p>
      <w:pPr>
        <w:spacing w:after="120" w:line="264"/>
      </w:pPr>
      <w:r>
        <w:rPr>
          <w:rFonts w:ascii="Calibri" w:cs="Calibri" w:eastAsia="Calibri" w:hAnsi="Calibri"/>
          <w:b/>
          <w:bCs/>
          <w:color w:val="0B1D33"/>
          <w:sz w:val="21"/>
          <w:szCs w:val="21"/>
        </w:rPr>
        <w:t xml:space="preserve">2.3  Configured at onboarding (all plans)</w:t>
      </w:r>
    </w:p>
    <w:p>
      <w:pPr>
        <w:spacing w:after="120" w:line="264"/>
      </w:pPr>
      <w:r>
        <w:rPr>
          <w:rFonts w:ascii="Calibri" w:cs="Calibri" w:eastAsia="Calibri" w:hAnsi="Calibri"/>
          <w:color w:val="0A0A0A"/>
          <w:sz w:val="21"/>
          <w:szCs w:val="21"/>
        </w:rPr>
        <w:t xml:space="preserve">These are not "off-the-shelf": they are set up together during go-live (clause 5).</w:t>
      </w:r>
    </w:p>
    <w:p>
      <w:pPr>
        <w:pStyle w:val="ListParagraph"/>
        <w:numPr>
          <w:ilvl w:val="0"/>
          <w:numId w:val="2"/>
        </w:numPr>
        <w:spacing w:after="88" w:line="264"/>
      </w:pPr>
      <w:r>
        <w:rPr>
          <w:rFonts w:ascii="Calibri" w:cs="Calibri" w:eastAsia="Calibri" w:hAnsi="Calibri"/>
          <w:color w:val="0A0A0A"/>
          <w:sz w:val="21"/>
          <w:szCs w:val="21"/>
        </w:rPr>
        <w:t xml:space="preserve">Connection of a WhatsApp channel dedicated to the Client.</w:t>
      </w:r>
    </w:p>
    <w:p>
      <w:pPr>
        <w:pStyle w:val="ListParagraph"/>
        <w:numPr>
          <w:ilvl w:val="0"/>
          <w:numId w:val="2"/>
        </w:numPr>
        <w:spacing w:after="88" w:line="264"/>
      </w:pPr>
      <w:r>
        <w:rPr>
          <w:rFonts w:ascii="Calibri" w:cs="Calibri" w:eastAsia="Calibri" w:hAnsi="Calibri"/>
          <w:color w:val="0A0A0A"/>
          <w:sz w:val="21"/>
          <w:szCs w:val="21"/>
        </w:rPr>
        <w:t xml:space="preserve">Appointment booking link (Client’s calendar).</w:t>
      </w:r>
    </w:p>
    <w:p>
      <w:pPr>
        <w:pStyle w:val="ListParagraph"/>
        <w:numPr>
          <w:ilvl w:val="0"/>
          <w:numId w:val="2"/>
        </w:numPr>
        <w:spacing w:after="88" w:line="264"/>
      </w:pPr>
      <w:r>
        <w:rPr>
          <w:rFonts w:ascii="Calibri" w:cs="Calibri" w:eastAsia="Calibri" w:hAnsi="Calibri"/>
          <w:color w:val="0A0A0A"/>
          <w:sz w:val="21"/>
          <w:szCs w:val="21"/>
        </w:rPr>
        <w:t xml:space="preserve">Agency name and tone, areas and agent assignment.</w:t>
      </w:r>
    </w:p>
    <w:p>
      <w:pPr>
        <w:pStyle w:val="ListParagraph"/>
        <w:numPr>
          <w:ilvl w:val="0"/>
          <w:numId w:val="2"/>
        </w:numPr>
        <w:spacing w:after="88" w:line="264"/>
      </w:pPr>
      <w:r>
        <w:rPr>
          <w:rFonts w:ascii="Calibri" w:cs="Calibri" w:eastAsia="Calibri" w:hAnsi="Calibri"/>
          <w:color w:val="0A0A0A"/>
          <w:sz w:val="21"/>
          <w:szCs w:val="21"/>
        </w:rPr>
        <w:t xml:space="preserve">CRM spreadsheet. Calibration of messages to the Client’s tone.</w:t>
      </w:r>
    </w:p>
    <w:p>
      <w:pPr>
        <w:spacing w:after="120" w:line="264"/>
      </w:pPr>
      <w:r>
        <w:rPr>
          <w:rFonts w:ascii="Calibri" w:cs="Calibri" w:eastAsia="Calibri" w:hAnsi="Calibri"/>
          <w:b/>
          <w:bCs/>
          <w:color w:val="0B1D33"/>
          <w:sz w:val="21"/>
          <w:szCs w:val="21"/>
        </w:rPr>
        <w:t xml:space="preserve">2.4  Out of scope (not included)</w:t>
      </w:r>
    </w:p>
    <w:p>
      <w:pPr>
        <w:spacing w:after="120" w:line="264"/>
      </w:pPr>
      <w:r>
        <w:rPr>
          <w:rFonts w:ascii="Calibri" w:cs="Calibri" w:eastAsia="Calibri" w:hAnsi="Calibri"/>
          <w:color w:val="0A0A0A"/>
          <w:sz w:val="21"/>
          <w:szCs w:val="21"/>
        </w:rPr>
        <w:t xml:space="preserve">For full transparency, the following are not provided under this agreement:</w:t>
      </w:r>
    </w:p>
    <w:p>
      <w:pPr>
        <w:pStyle w:val="ListParagraph"/>
        <w:numPr>
          <w:ilvl w:val="0"/>
          <w:numId w:val="2"/>
        </w:numPr>
        <w:spacing w:after="88" w:line="264"/>
      </w:pPr>
      <w:r>
        <w:rPr>
          <w:rFonts w:ascii="Calibri" w:cs="Calibri" w:eastAsia="Calibri" w:hAnsi="Calibri"/>
          <w:color w:val="0A0A0A"/>
          <w:sz w:val="21"/>
          <w:szCs w:val="21"/>
        </w:rPr>
        <w:t xml:space="preserve">Voice Sarah (replies to voice messages and calls): under development, not guaranteed, not included.</w:t>
      </w:r>
    </w:p>
    <w:p>
      <w:pPr>
        <w:pStyle w:val="ListParagraph"/>
        <w:numPr>
          <w:ilvl w:val="0"/>
          <w:numId w:val="2"/>
        </w:numPr>
        <w:spacing w:after="88" w:line="264"/>
      </w:pPr>
      <w:r>
        <w:rPr>
          <w:rFonts w:ascii="Calibri" w:cs="Calibri" w:eastAsia="Calibri" w:hAnsi="Calibri"/>
          <w:color w:val="0A0A0A"/>
          <w:sz w:val="21"/>
          <w:szCs w:val="21"/>
        </w:rPr>
        <w:t xml:space="preserve">Automated replies to Facebook / Instagram comments (comment-to-DM): future roadmap, not available.</w:t>
      </w:r>
    </w:p>
    <w:p>
      <w:pPr>
        <w:pStyle w:val="ListParagraph"/>
        <w:numPr>
          <w:ilvl w:val="0"/>
          <w:numId w:val="2"/>
        </w:numPr>
        <w:spacing w:after="88" w:line="264"/>
      </w:pPr>
      <w:r>
        <w:rPr>
          <w:rFonts w:ascii="Calibri" w:cs="Calibri" w:eastAsia="Calibri" w:hAnsi="Calibri"/>
          <w:color w:val="0A0A0A"/>
          <w:sz w:val="21"/>
          <w:szCs w:val="21"/>
        </w:rPr>
        <w:t xml:space="preserve">Any integration with third-party Client software not expressly listed in an appendix.</w:t>
      </w:r>
    </w:p>
    <w:p>
      <w:pPr>
        <w:pStyle w:val="ListParagraph"/>
        <w:numPr>
          <w:ilvl w:val="0"/>
          <w:numId w:val="2"/>
        </w:numPr>
        <w:spacing w:after="88" w:line="264"/>
      </w:pPr>
      <w:r>
        <w:rPr>
          <w:rFonts w:ascii="Calibri" w:cs="Calibri" w:eastAsia="Calibri" w:hAnsi="Calibri"/>
          <w:color w:val="0A0A0A"/>
          <w:sz w:val="21"/>
          <w:szCs w:val="21"/>
        </w:rPr>
        <w:t xml:space="preserve">The drafting or legal review of the Client’s listings, mandates or documents.</w:t>
      </w:r>
    </w:p>
    <w:p>
      <w:pPr>
        <w:spacing w:after="120" w:line="264"/>
      </w:pPr>
      <w:r>
        <w:rPr>
          <w:rFonts w:ascii="Calibri" w:cs="Calibri" w:eastAsia="Calibri" w:hAnsi="Calibri"/>
          <w:color w:val="0A0A0A"/>
          <w:sz w:val="21"/>
          <w:szCs w:val="21"/>
        </w:rPr>
        <w:t xml:space="preserve">These may be added by written amendment if and when they become available.</w:t>
      </w:r>
    </w:p>
    <w:p>
      <w:pPr>
        <w:pStyle w:val="Heading1"/>
        <w:spacing w:after="110" w:before="240"/>
      </w:pPr>
      <w:r>
        <w:rPr>
          <w:rFonts w:ascii="Calibri" w:cs="Calibri" w:eastAsia="Calibri" w:hAnsi="Calibri"/>
          <w:b/>
          <w:bCs/>
          <w:color w:val="0B1D33"/>
          <w:sz w:val="26"/>
          <w:szCs w:val="26"/>
        </w:rPr>
        <w:t xml:space="preserve">3. Fees and billing</w:t>
      </w:r>
    </w:p>
    <w:p>
      <w:pPr>
        <w:spacing w:after="120" w:line="264"/>
      </w:pPr>
      <w:r>
        <w:rPr>
          <w:rFonts w:ascii="Calibri" w:cs="Calibri" w:eastAsia="Calibri" w:hAnsi="Calibri"/>
          <w:color w:val="0A0A0A"/>
          <w:sz w:val="21"/>
          <w:szCs w:val="21"/>
        </w:rPr>
        <w:t xml:space="preserve">Amounts in pounds sterling (GBP), excluding any applicable taxes.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4680"/>
        <w:gridCol w:w="2340"/>
        <w:gridCol w:w="2340"/>
      </w:tblGrid>
      <w:tr>
        <w:trPr>
          <w:tblHeader/>
        </w:trPr>
        <w:tc>
          <w:tcPr>
            <w:tcW w:type="dxa" w:w="4680"/>
            <w:shd w:fill="E8EEF7" w:color="auto" w:val="clear"/>
            <w:tcMar>
              <w:top w:type="dxa" w:w="60"/>
              <w:left w:type="dxa" w:w="100"/>
              <w:bottom w:type="dxa" w:w="60"/>
              <w:right w:type="dxa" w:w="100"/>
            </w:tcMar>
          </w:tcPr>
          <w:p>
            <w:pPr>
              <w:jc w:val="left"/>
            </w:pPr>
            <w:r>
              <w:rPr>
                <w:rFonts w:ascii="Calibri" w:cs="Calibri" w:eastAsia="Calibri" w:hAnsi="Calibri"/>
                <w:b/>
                <w:bCs/>
                <w:color w:val="0B1D33"/>
                <w:sz w:val="20"/>
                <w:szCs w:val="20"/>
              </w:rPr>
              <w:t xml:space="preserve">Plan</w:t>
            </w:r>
          </w:p>
        </w:tc>
        <w:tc>
          <w:tcPr>
            <w:tcW w:type="dxa" w:w="2340"/>
            <w:shd w:fill="E8EEF7" w:color="auto" w:val="clear"/>
            <w:tcMar>
              <w:top w:type="dxa" w:w="60"/>
              <w:left w:type="dxa" w:w="100"/>
              <w:bottom w:type="dxa" w:w="60"/>
              <w:right w:type="dxa" w:w="100"/>
            </w:tcMar>
          </w:tcPr>
          <w:p>
            <w:pPr>
              <w:jc w:val="right"/>
            </w:pPr>
            <w:r>
              <w:rPr>
                <w:rFonts w:ascii="Calibri" w:cs="Calibri" w:eastAsia="Calibri" w:hAnsi="Calibri"/>
                <w:b/>
                <w:bCs/>
                <w:color w:val="0B1D33"/>
                <w:sz w:val="20"/>
                <w:szCs w:val="20"/>
              </w:rPr>
              <w:t xml:space="preserve">Subscription</w:t>
            </w:r>
          </w:p>
        </w:tc>
        <w:tc>
          <w:tcPr>
            <w:tcW w:type="dxa" w:w="2340"/>
            <w:shd w:fill="E8EEF7" w:color="auto" w:val="clear"/>
            <w:tcMar>
              <w:top w:type="dxa" w:w="60"/>
              <w:left w:type="dxa" w:w="100"/>
              <w:bottom w:type="dxa" w:w="60"/>
              <w:right w:type="dxa" w:w="100"/>
            </w:tcMar>
          </w:tcPr>
          <w:p>
            <w:pPr>
              <w:jc w:val="left"/>
            </w:pPr>
            <w:r>
              <w:rPr>
                <w:rFonts w:ascii="Calibri" w:cs="Calibri" w:eastAsia="Calibri" w:hAnsi="Calibri"/>
                <w:b/>
                <w:bCs/>
                <w:color w:val="0B1D33"/>
                <w:sz w:val="20"/>
                <w:szCs w:val="20"/>
              </w:rPr>
              <w:t xml:space="preserve">Setup</w:t>
            </w:r>
          </w:p>
        </w:tc>
      </w:tr>
      <w:tr>
        <w:tc>
          <w:tcPr>
            <w:tcW w:type="dxa" w:w="4680"/>
            <w:tcMar>
              <w:top w:type="dxa" w:w="60"/>
              <w:left w:type="dxa" w:w="100"/>
              <w:bottom w:type="dxa" w:w="60"/>
              <w:right w:type="dxa" w:w="100"/>
            </w:tcMar>
          </w:tcPr>
          <w:p>
            <w:pPr>
              <w:jc w:val="left"/>
            </w:pPr>
            <w:r>
              <w:rPr>
                <w:rFonts w:ascii="Calibri" w:cs="Calibri" w:eastAsia="Calibri" w:hAnsi="Calibri"/>
                <w:b w:val="false"/>
                <w:bCs w:val="false"/>
                <w:color w:val="0A0A0A"/>
                <w:sz w:val="20"/>
                <w:szCs w:val="20"/>
              </w:rPr>
              <w:t xml:space="preserve">RESPOND (Capture)</w:t>
            </w:r>
          </w:p>
        </w:tc>
        <w:tc>
          <w:tcPr>
            <w:tcW w:type="dxa" w:w="2340"/>
            <w:tcMar>
              <w:top w:type="dxa" w:w="60"/>
              <w:left w:type="dxa" w:w="100"/>
              <w:bottom w:type="dxa" w:w="60"/>
              <w:right w:type="dxa" w:w="100"/>
            </w:tcMar>
          </w:tcPr>
          <w:p>
            <w:pPr>
              <w:jc w:val="right"/>
            </w:pPr>
            <w:r>
              <w:rPr>
                <w:rFonts w:ascii="Calibri" w:cs="Calibri" w:eastAsia="Calibri" w:hAnsi="Calibri"/>
                <w:b/>
                <w:bCs/>
                <w:color w:val="0B1D33"/>
                <w:sz w:val="20"/>
                <w:szCs w:val="20"/>
              </w:rPr>
              <w:t xml:space="preserve">£290 / month</w:t>
            </w:r>
          </w:p>
        </w:tc>
        <w:tc>
          <w:tcPr>
            <w:tcW w:type="dxa" w:w="2340"/>
            <w:tcMar>
              <w:top w:type="dxa" w:w="60"/>
              <w:left w:type="dxa" w:w="100"/>
              <w:bottom w:type="dxa" w:w="60"/>
              <w:right w:type="dxa" w:w="100"/>
            </w:tcMar>
          </w:tcPr>
          <w:p>
            <w:pPr>
              <w:jc w:val="left"/>
            </w:pPr>
            <w:r>
              <w:rPr>
                <w:rFonts w:ascii="Calibri" w:cs="Calibri" w:eastAsia="Calibri" w:hAnsi="Calibri"/>
                <w:b w:val="false"/>
                <w:bCs w:val="false"/>
                <w:color w:val="0A0A0A"/>
                <w:sz w:val="20"/>
                <w:szCs w:val="20"/>
              </w:rPr>
              <w:t xml:space="preserve">£490</w:t>
            </w:r>
          </w:p>
        </w:tc>
      </w:tr>
      <w:tr>
        <w:tc>
          <w:tcPr>
            <w:tcW w:type="dxa" w:w="4680"/>
            <w:tcMar>
              <w:top w:type="dxa" w:w="60"/>
              <w:left w:type="dxa" w:w="100"/>
              <w:bottom w:type="dxa" w:w="60"/>
              <w:right w:type="dxa" w:w="100"/>
            </w:tcMar>
          </w:tcPr>
          <w:p>
            <w:pPr>
              <w:jc w:val="left"/>
            </w:pPr>
            <w:r>
              <w:rPr>
                <w:rFonts w:ascii="Calibri" w:cs="Calibri" w:eastAsia="Calibri" w:hAnsi="Calibri"/>
                <w:b w:val="false"/>
                <w:bCs w:val="false"/>
                <w:color w:val="0A0A0A"/>
                <w:sz w:val="20"/>
                <w:szCs w:val="20"/>
              </w:rPr>
              <w:t xml:space="preserve">CONVERT (Convert)</w:t>
            </w:r>
          </w:p>
        </w:tc>
        <w:tc>
          <w:tcPr>
            <w:tcW w:type="dxa" w:w="2340"/>
            <w:tcMar>
              <w:top w:type="dxa" w:w="60"/>
              <w:left w:type="dxa" w:w="100"/>
              <w:bottom w:type="dxa" w:w="60"/>
              <w:right w:type="dxa" w:w="100"/>
            </w:tcMar>
          </w:tcPr>
          <w:p>
            <w:pPr>
              <w:jc w:val="right"/>
            </w:pPr>
            <w:r>
              <w:rPr>
                <w:rFonts w:ascii="Calibri" w:cs="Calibri" w:eastAsia="Calibri" w:hAnsi="Calibri"/>
                <w:b/>
                <w:bCs/>
                <w:color w:val="0B1D33"/>
                <w:sz w:val="20"/>
                <w:szCs w:val="20"/>
              </w:rPr>
              <w:t xml:space="preserve">£490 / month</w:t>
            </w:r>
          </w:p>
        </w:tc>
        <w:tc>
          <w:tcPr>
            <w:tcW w:type="dxa" w:w="2340"/>
            <w:tcMar>
              <w:top w:type="dxa" w:w="60"/>
              <w:left w:type="dxa" w:w="100"/>
              <w:bottom w:type="dxa" w:w="60"/>
              <w:right w:type="dxa" w:w="100"/>
            </w:tcMar>
          </w:tcPr>
          <w:p>
            <w:pPr>
              <w:jc w:val="left"/>
            </w:pPr>
            <w:r>
              <w:rPr>
                <w:rFonts w:ascii="Calibri" w:cs="Calibri" w:eastAsia="Calibri" w:hAnsi="Calibri"/>
                <w:b w:val="false"/>
                <w:bCs w:val="false"/>
                <w:color w:val="0A0A0A"/>
                <w:sz w:val="20"/>
                <w:szCs w:val="20"/>
              </w:rPr>
              <w:t xml:space="preserve">£990</w:t>
            </w:r>
          </w:p>
        </w:tc>
      </w:tr>
      <w:tr>
        <w:tc>
          <w:tcPr>
            <w:tcW w:type="dxa" w:w="4680"/>
            <w:tcMar>
              <w:top w:type="dxa" w:w="60"/>
              <w:left w:type="dxa" w:w="100"/>
              <w:bottom w:type="dxa" w:w="60"/>
              <w:right w:type="dxa" w:w="100"/>
            </w:tcMar>
          </w:tcPr>
          <w:p>
            <w:pPr>
              <w:jc w:val="left"/>
            </w:pPr>
            <w:r>
              <w:rPr>
                <w:rFonts w:ascii="Calibri" w:cs="Calibri" w:eastAsia="Calibri" w:hAnsi="Calibri"/>
                <w:b w:val="false"/>
                <w:bCs w:val="false"/>
                <w:color w:val="0A0A0A"/>
                <w:sz w:val="20"/>
                <w:szCs w:val="20"/>
              </w:rPr>
              <w:t xml:space="preserve">DOMINATE (Develop)</w:t>
            </w:r>
          </w:p>
        </w:tc>
        <w:tc>
          <w:tcPr>
            <w:tcW w:type="dxa" w:w="2340"/>
            <w:tcMar>
              <w:top w:type="dxa" w:w="60"/>
              <w:left w:type="dxa" w:w="100"/>
              <w:bottom w:type="dxa" w:w="60"/>
              <w:right w:type="dxa" w:w="100"/>
            </w:tcMar>
          </w:tcPr>
          <w:p>
            <w:pPr>
              <w:jc w:val="right"/>
            </w:pPr>
            <w:r>
              <w:rPr>
                <w:rFonts w:ascii="Calibri" w:cs="Calibri" w:eastAsia="Calibri" w:hAnsi="Calibri"/>
                <w:b/>
                <w:bCs/>
                <w:color w:val="0B1D33"/>
                <w:sz w:val="20"/>
                <w:szCs w:val="20"/>
              </w:rPr>
              <w:t xml:space="preserve">£790 / month</w:t>
            </w:r>
          </w:p>
        </w:tc>
        <w:tc>
          <w:tcPr>
            <w:tcW w:type="dxa" w:w="2340"/>
            <w:tcMar>
              <w:top w:type="dxa" w:w="60"/>
              <w:left w:type="dxa" w:w="100"/>
              <w:bottom w:type="dxa" w:w="60"/>
              <w:right w:type="dxa" w:w="100"/>
            </w:tcMar>
          </w:tcPr>
          <w:p>
            <w:pPr>
              <w:jc w:val="left"/>
            </w:pPr>
            <w:r>
              <w:rPr>
                <w:rFonts w:ascii="Calibri" w:cs="Calibri" w:eastAsia="Calibri" w:hAnsi="Calibri"/>
                <w:b w:val="false"/>
                <w:bCs w:val="false"/>
                <w:color w:val="0A0A0A"/>
                <w:sz w:val="20"/>
                <w:szCs w:val="20"/>
              </w:rPr>
              <w:t xml:space="preserve">£1 490</w:t>
            </w:r>
          </w:p>
        </w:tc>
      </w:tr>
    </w:tbl>
    <w:p>
      <w:pPr>
        <w:spacing w:after="80" w:before="120"/>
      </w:pPr>
      <w:r>
        <w:rPr>
          <w:rFonts w:ascii="Calibri" w:cs="Calibri" w:eastAsia="Calibri" w:hAnsi="Calibri"/>
          <w:b/>
          <w:bCs/>
          <w:color w:val="0A0A0A"/>
          <w:sz w:val="21"/>
          <w:szCs w:val="21"/>
        </w:rPr>
        <w:t xml:space="preserve">Selected plan: </w:t>
      </w:r>
      <w:r>
        <w:rPr>
          <w:rFonts w:ascii="Calibri" w:cs="Calibri" w:eastAsia="Calibri" w:hAnsi="Calibri"/>
          <w:b/>
          <w:bCs/>
          <w:color w:val="2563EB"/>
          <w:sz w:val="21"/>
          <w:szCs w:val="21"/>
        </w:rPr>
        <w:t xml:space="preserve">[RESPOND / CONVERT / DOMINATE]</w:t>
      </w:r>
      <w:r>
        <w:rPr>
          <w:rFonts w:ascii="Calibri" w:cs="Calibri" w:eastAsia="Calibri" w:hAnsi="Calibri"/>
          <w:color w:val="0A0A0A"/>
          <w:sz w:val="21"/>
          <w:szCs w:val="21"/>
        </w:rPr>
        <w:t xml:space="preserve">     </w:t>
      </w:r>
      <w:r>
        <w:rPr>
          <w:rFonts w:ascii="Calibri" w:cs="Calibri" w:eastAsia="Calibri" w:hAnsi="Calibri"/>
          <w:b/>
          <w:bCs/>
          <w:color w:val="0A0A0A"/>
          <w:sz w:val="21"/>
          <w:szCs w:val="21"/>
        </w:rPr>
        <w:t xml:space="preserve">Monthly subscription: </w:t>
      </w:r>
      <w:r>
        <w:rPr>
          <w:rFonts w:ascii="Calibri" w:cs="Calibri" w:eastAsia="Calibri" w:hAnsi="Calibri"/>
          <w:b/>
          <w:bCs/>
          <w:color w:val="2563EB"/>
          <w:sz w:val="21"/>
          <w:szCs w:val="21"/>
        </w:rPr>
        <w:t xml:space="preserve">[Monthly price]</w:t>
      </w:r>
    </w:p>
    <w:p>
      <w:pPr>
        <w:spacing w:after="120" w:line="264"/>
      </w:pPr>
      <w:r>
        <w:rPr>
          <w:rFonts w:ascii="Calibri" w:cs="Calibri" w:eastAsia="Calibri" w:hAnsi="Calibri"/>
          <w:b/>
          <w:bCs/>
          <w:color w:val="0A0A0A"/>
          <w:sz w:val="21"/>
          <w:szCs w:val="21"/>
        </w:rPr>
        <w:t xml:space="preserve">Setup fee: </w:t>
      </w:r>
      <w:r>
        <w:rPr>
          <w:rFonts w:ascii="Calibri" w:cs="Calibri" w:eastAsia="Calibri" w:hAnsi="Calibri"/>
          <w:b/>
          <w:bCs/>
          <w:color w:val="2563EB"/>
          <w:sz w:val="21"/>
          <w:szCs w:val="21"/>
        </w:rPr>
        <w:t xml:space="preserve">[Setup]</w:t>
      </w:r>
      <w:r>
        <w:rPr>
          <w:rFonts w:ascii="Calibri" w:cs="Calibri" w:eastAsia="Calibri" w:hAnsi="Calibri"/>
          <w:color w:val="0A0A0A"/>
          <w:sz w:val="21"/>
          <w:szCs w:val="21"/>
        </w:rPr>
        <w:t xml:space="preserve">     </w:t>
      </w:r>
      <w:r>
        <w:rPr>
          <w:rFonts w:ascii="Calibri" w:cs="Calibri" w:eastAsia="Calibri" w:hAnsi="Calibri"/>
          <w:b/>
          <w:bCs/>
          <w:color w:val="0A0A0A"/>
          <w:sz w:val="21"/>
          <w:szCs w:val="21"/>
        </w:rPr>
        <w:t xml:space="preserve">Launch price (if any): </w:t>
      </w:r>
      <w:r>
        <w:rPr>
          <w:rFonts w:ascii="Calibri" w:cs="Calibri" w:eastAsia="Calibri" w:hAnsi="Calibri"/>
          <w:b/>
          <w:bCs/>
          <w:color w:val="2563EB"/>
          <w:sz w:val="21"/>
          <w:szCs w:val="21"/>
        </w:rPr>
        <w:t xml:space="preserve">[Launch price + duration]</w:t>
      </w:r>
    </w:p>
    <w:p>
      <w:pPr>
        <w:spacing w:after="120" w:line="264"/>
      </w:pPr>
      <w:r>
        <w:rPr>
          <w:rFonts w:ascii="Calibri" w:cs="Calibri" w:eastAsia="Calibri" w:hAnsi="Calibri"/>
          <w:b/>
          <w:bCs/>
          <w:color w:val="0A0A0A"/>
          <w:sz w:val="21"/>
          <w:szCs w:val="21"/>
        </w:rPr>
        <w:t xml:space="preserve">Payment option: </w:t>
      </w:r>
      <w:r>
        <w:rPr>
          <w:rFonts w:ascii="Calibri" w:cs="Calibri" w:eastAsia="Calibri" w:hAnsi="Calibri"/>
          <w:color w:val="0A0A0A"/>
          <w:sz w:val="21"/>
          <w:szCs w:val="21"/>
        </w:rPr>
        <w:t xml:space="preserve">monthly ☐     annual ☐</w:t>
      </w:r>
    </w:p>
    <w:p>
      <w:pPr>
        <w:spacing w:after="120" w:line="264"/>
      </w:pPr>
      <w:r>
        <w:rPr>
          <w:rFonts w:ascii="Calibri" w:cs="Calibri" w:eastAsia="Calibri" w:hAnsi="Calibri"/>
          <w:b/>
          <w:bCs/>
          <w:color w:val="0A0A0A"/>
          <w:sz w:val="21"/>
          <w:szCs w:val="21"/>
        </w:rPr>
        <w:t xml:space="preserve">Annual plan: </w:t>
      </w:r>
      <w:r>
        <w:rPr>
          <w:rFonts w:ascii="Calibri" w:cs="Calibri" w:eastAsia="Calibri" w:hAnsi="Calibri"/>
          <w:color w:val="0A0A0A"/>
          <w:sz w:val="21"/>
          <w:szCs w:val="21"/>
        </w:rPr>
        <w:t xml:space="preserve">twelve months of subscription paid in one payment, on ordering, at the price of ten months, setup free, with no tacit renewal. RESPOND £2,900, CONVERT £4,900, DOMINATE £7,900.</w:t>
      </w:r>
    </w:p>
    <w:p>
      <w:pPr>
        <w:spacing w:after="120" w:line="264"/>
      </w:pPr>
      <w:r>
        <w:rPr>
          <w:rFonts w:ascii="Calibri" w:cs="Calibri" w:eastAsia="Calibri" w:hAnsi="Calibri"/>
          <w:b/>
          <w:bCs/>
          <w:color w:val="0A0A0A"/>
          <w:sz w:val="21"/>
          <w:szCs w:val="21"/>
        </w:rPr>
        <w:t xml:space="preserve">Included volume: </w:t>
      </w:r>
      <w:r>
        <w:rPr>
          <w:rFonts w:ascii="Calibri" w:cs="Calibri" w:eastAsia="Calibri" w:hAnsi="Calibri"/>
          <w:color w:val="0A0A0A"/>
          <w:sz w:val="21"/>
          <w:szCs w:val="21"/>
        </w:rPr>
        <w:t xml:space="preserve">up to 100 buyers a month with RESPOND, 200 with CONVERT, 400 with DOMINATE. Beyond that: £1 per extra buyer. A buyer is a person who wrote to Sarah during the month. The fees charged by Meta for WhatsApp messages are included in the subscription.</w:t>
      </w:r>
    </w:p>
    <w:p>
      <w:pPr>
        <w:spacing w:after="120" w:line="264"/>
      </w:pPr>
      <w:r>
        <w:rPr>
          <w:rFonts w:ascii="Calibri" w:cs="Calibri" w:eastAsia="Calibri" w:hAnsi="Calibri"/>
          <w:color w:val="0A0A0A"/>
          <w:sz w:val="21"/>
          <w:szCs w:val="21"/>
        </w:rPr>
        <w:t xml:space="preserve">The setup fee is payable on ordering. The monthly subscription is payable monthly in advance; the annual plan in one payment, on ordering.</w:t>
      </w:r>
    </w:p>
    <w:p>
      <w:pPr>
        <w:pStyle w:val="Heading1"/>
        <w:spacing w:after="110" w:before="240"/>
      </w:pPr>
      <w:r>
        <w:rPr>
          <w:rFonts w:ascii="Calibri" w:cs="Calibri" w:eastAsia="Calibri" w:hAnsi="Calibri"/>
          <w:b/>
          <w:bCs/>
          <w:color w:val="0B1D33"/>
          <w:sz w:val="26"/>
          <w:szCs w:val="26"/>
        </w:rPr>
        <w:t xml:space="preserve">4. Term and termination</w:t>
      </w:r>
    </w:p>
    <w:p>
      <w:pPr>
        <w:pStyle w:val="ListParagraph"/>
        <w:numPr>
          <w:ilvl w:val="0"/>
          <w:numId w:val="2"/>
        </w:numPr>
        <w:spacing w:after="88" w:line="264"/>
      </w:pPr>
      <w:r>
        <w:rPr>
          <w:rFonts w:ascii="Calibri" w:cs="Calibri" w:eastAsia="Calibri" w:hAnsi="Calibri"/>
          <w:color w:val="0A0A0A"/>
          <w:sz w:val="21"/>
          <w:szCs w:val="21"/>
        </w:rPr>
        <w:t xml:space="preserve">This agreement takes effect on signature. On the monthly option, it runs month to month, with no minimum term.</w:t>
      </w:r>
    </w:p>
    <w:p>
      <w:pPr>
        <w:pStyle w:val="ListParagraph"/>
        <w:numPr>
          <w:ilvl w:val="0"/>
          <w:numId w:val="2"/>
        </w:numPr>
        <w:spacing w:after="88" w:line="264"/>
      </w:pPr>
      <w:r>
        <w:rPr>
          <w:rFonts w:ascii="Calibri" w:cs="Calibri" w:eastAsia="Calibri" w:hAnsi="Calibri"/>
          <w:color w:val="0A0A0A"/>
          <w:sz w:val="21"/>
          <w:szCs w:val="21"/>
        </w:rPr>
        <w:t xml:space="preserve">It renews monthly upon payment of the next month’s fee. There is no tacit renewal into any fixed commitment: the Client is never locked in.</w:t>
      </w:r>
    </w:p>
    <w:p>
      <w:pPr>
        <w:pStyle w:val="ListParagraph"/>
        <w:numPr>
          <w:ilvl w:val="0"/>
          <w:numId w:val="2"/>
        </w:numPr>
        <w:spacing w:after="88" w:line="264"/>
      </w:pPr>
      <w:r>
        <w:rPr>
          <w:rFonts w:ascii="Calibri" w:cs="Calibri" w:eastAsia="Calibri" w:hAnsi="Calibri"/>
          <w:color w:val="0A0A0A"/>
          <w:sz w:val="21"/>
          <w:szCs w:val="21"/>
        </w:rPr>
        <w:t xml:space="preserve">Either Party may terminate at any time, by simple written notice (email). Termination takes effect at the end of the current paid month; no fee is owed beyond it.</w:t>
      </w:r>
    </w:p>
    <w:p>
      <w:pPr>
        <w:pStyle w:val="ListParagraph"/>
        <w:numPr>
          <w:ilvl w:val="0"/>
          <w:numId w:val="2"/>
        </w:numPr>
        <w:spacing w:after="88" w:line="264"/>
      </w:pPr>
      <w:r>
        <w:rPr>
          <w:rFonts w:ascii="Calibri" w:cs="Calibri" w:eastAsia="Calibri" w:hAnsi="Calibri"/>
          <w:color w:val="0A0A0A"/>
          <w:sz w:val="21"/>
          <w:szCs w:val="21"/>
        </w:rPr>
        <w:t xml:space="preserve">On the annual option, the agreement covers twelve months of subscription and ends at the end of those twelve months, with no tacit renewal.</w:t>
      </w:r>
    </w:p>
    <w:p>
      <w:pPr>
        <w:pStyle w:val="ListParagraph"/>
        <w:numPr>
          <w:ilvl w:val="0"/>
          <w:numId w:val="2"/>
        </w:numPr>
        <w:spacing w:after="88" w:line="264"/>
      </w:pPr>
      <w:r>
        <w:rPr>
          <w:rFonts w:ascii="Calibri" w:cs="Calibri" w:eastAsia="Calibri" w:hAnsi="Calibri"/>
          <w:b/>
          <w:bCs/>
          <w:color w:val="0A0A0A"/>
          <w:sz w:val="21"/>
          <w:szCs w:val="21"/>
        </w:rPr>
        <w:t xml:space="preserve">30-day money-back guarantee: </w:t>
      </w:r>
      <w:r>
        <w:rPr>
          <w:rFonts w:ascii="Calibri" w:cs="Calibri" w:eastAsia="Calibri" w:hAnsi="Calibri"/>
          <w:color w:val="0A0A0A"/>
          <w:sz w:val="21"/>
          <w:szCs w:val="21"/>
        </w:rPr>
        <w:t xml:space="preserve">the Client may request a full refund of their first month of subscription within 30 days of go-live, without having to give a reason. This guarantee is not subject to any condition of result, performance or commercial outcome.</w:t>
      </w:r>
    </w:p>
    <w:p>
      <w:pPr>
        <w:pStyle w:val="Heading1"/>
        <w:spacing w:after="110" w:before="240"/>
      </w:pPr>
      <w:r>
        <w:rPr>
          <w:rFonts w:ascii="Calibri" w:cs="Calibri" w:eastAsia="Calibri" w:hAnsi="Calibri"/>
          <w:b/>
          <w:bCs/>
          <w:color w:val="0B1D33"/>
          <w:sz w:val="26"/>
          <w:szCs w:val="26"/>
        </w:rPr>
        <w:t xml:space="preserve">5. Go-live</w:t>
      </w:r>
    </w:p>
    <w:p>
      <w:pPr>
        <w:spacing w:after="120" w:line="264"/>
      </w:pPr>
      <w:r>
        <w:rPr>
          <w:rFonts w:ascii="Calibri" w:cs="Calibri" w:eastAsia="Calibri" w:hAnsi="Calibri"/>
          <w:b/>
          <w:bCs/>
          <w:color w:val="0A0A0A"/>
          <w:sz w:val="21"/>
          <w:szCs w:val="21"/>
        </w:rPr>
        <w:t xml:space="preserve">Go-live date agreed at signature: </w:t>
      </w:r>
      <w:r>
        <w:rPr>
          <w:rFonts w:ascii="Calibri" w:cs="Calibri" w:eastAsia="Calibri" w:hAnsi="Calibri"/>
          <w:b/>
          <w:bCs/>
          <w:color w:val="2563EB"/>
          <w:sz w:val="21"/>
          <w:szCs w:val="21"/>
        </w:rPr>
        <w:t xml:space="preserve">[Go-live date]</w:t>
      </w:r>
    </w:p>
    <w:p>
      <w:pPr>
        <w:pStyle w:val="ListParagraph"/>
        <w:numPr>
          <w:ilvl w:val="0"/>
          <w:numId w:val="2"/>
        </w:numPr>
        <w:spacing w:after="88" w:line="264"/>
      </w:pPr>
      <w:r>
        <w:rPr>
          <w:rFonts w:ascii="Calibri" w:cs="Calibri" w:eastAsia="Calibri" w:hAnsi="Calibri"/>
          <w:color w:val="0A0A0A"/>
          <w:sz w:val="21"/>
          <w:szCs w:val="21"/>
        </w:rPr>
        <w:t xml:space="preserve">Configuration (WhatsApp channel, booking link, CRM, areas and assignment, message calibration) starts on receipt of the required access and of the payment set out in clause 3.</w:t>
      </w:r>
    </w:p>
    <w:p>
      <w:pPr>
        <w:pStyle w:val="ListParagraph"/>
        <w:numPr>
          <w:ilvl w:val="0"/>
          <w:numId w:val="2"/>
        </w:numPr>
        <w:spacing w:after="88" w:line="264"/>
      </w:pPr>
      <w:r>
        <w:rPr>
          <w:rFonts w:ascii="Calibri" w:cs="Calibri" w:eastAsia="Calibri" w:hAnsi="Calibri"/>
          <w:color w:val="0A0A0A"/>
          <w:sz w:val="21"/>
          <w:szCs w:val="21"/>
        </w:rPr>
        <w:t xml:space="preserve">The go-live date is agreed at signature and stated above. It depends on the Client supplying the requested items; the Provider undertakes to act diligently upon receipt of them and makes no promise of instant go-live.</w:t>
      </w:r>
    </w:p>
    <w:p>
      <w:pPr>
        <w:pStyle w:val="Heading1"/>
        <w:spacing w:after="110" w:before="240"/>
      </w:pPr>
      <w:r>
        <w:rPr>
          <w:rFonts w:ascii="Calibri" w:cs="Calibri" w:eastAsia="Calibri" w:hAnsi="Calibri"/>
          <w:b/>
          <w:bCs/>
          <w:color w:val="0B1D33"/>
          <w:sz w:val="26"/>
          <w:szCs w:val="26"/>
        </w:rPr>
        <w:t xml:space="preserve">6. Responsibilities and limitation</w:t>
      </w:r>
    </w:p>
    <w:p>
      <w:pPr>
        <w:pStyle w:val="ListParagraph"/>
        <w:numPr>
          <w:ilvl w:val="0"/>
          <w:numId w:val="2"/>
        </w:numPr>
        <w:spacing w:after="88" w:line="264"/>
      </w:pPr>
      <w:r>
        <w:rPr>
          <w:rFonts w:ascii="Calibri" w:cs="Calibri" w:eastAsia="Calibri" w:hAnsi="Calibri"/>
          <w:b/>
          <w:bCs/>
          <w:color w:val="0A0A0A"/>
          <w:sz w:val="21"/>
          <w:szCs w:val="21"/>
        </w:rPr>
        <w:t xml:space="preserve">Sarah’s role: </w:t>
      </w:r>
      <w:r>
        <w:rPr>
          <w:rFonts w:ascii="Calibri" w:cs="Calibri" w:eastAsia="Calibri" w:hAnsi="Calibri"/>
          <w:color w:val="0A0A0A"/>
          <w:sz w:val="21"/>
          <w:szCs w:val="21"/>
        </w:rPr>
        <w:t xml:space="preserve">Sarah provides general information and organises the first contact. She never gives definitive legal, tax or financial advice, commits to no firm price and closes no sale. The client relationship, viewings, negotiations and all decisions remain the Client’s sole responsibility.</w:t>
      </w:r>
    </w:p>
    <w:p>
      <w:pPr>
        <w:pStyle w:val="ListParagraph"/>
        <w:numPr>
          <w:ilvl w:val="0"/>
          <w:numId w:val="2"/>
        </w:numPr>
        <w:spacing w:after="88" w:line="264"/>
      </w:pPr>
      <w:r>
        <w:rPr>
          <w:rFonts w:ascii="Calibri" w:cs="Calibri" w:eastAsia="Calibri" w:hAnsi="Calibri"/>
          <w:b/>
          <w:bCs/>
          <w:color w:val="0A0A0A"/>
          <w:sz w:val="21"/>
          <w:szCs w:val="21"/>
        </w:rPr>
        <w:t xml:space="preserve">Verification: </w:t>
      </w:r>
      <w:r>
        <w:rPr>
          <w:rFonts w:ascii="Calibri" w:cs="Calibri" w:eastAsia="Calibri" w:hAnsi="Calibri"/>
          <w:color w:val="0A0A0A"/>
          <w:sz w:val="21"/>
          <w:szCs w:val="21"/>
        </w:rPr>
        <w:t xml:space="preserve">the assistant relies on artificial intelligence, which can be wrong. The Client agrees to verify any sensitive information before relying on it with a third party.</w:t>
      </w:r>
    </w:p>
    <w:p>
      <w:pPr>
        <w:pStyle w:val="ListParagraph"/>
        <w:numPr>
          <w:ilvl w:val="0"/>
          <w:numId w:val="2"/>
        </w:numPr>
        <w:spacing w:after="88" w:line="264"/>
      </w:pPr>
      <w:r>
        <w:rPr>
          <w:rFonts w:ascii="Calibri" w:cs="Calibri" w:eastAsia="Calibri" w:hAnsi="Calibri"/>
          <w:b/>
          <w:bCs/>
          <w:color w:val="0A0A0A"/>
          <w:sz w:val="21"/>
          <w:szCs w:val="21"/>
        </w:rPr>
        <w:t xml:space="preserve">No commercial results guaranteed: </w:t>
      </w:r>
      <w:r>
        <w:rPr>
          <w:rFonts w:ascii="Calibri" w:cs="Calibri" w:eastAsia="Calibri" w:hAnsi="Calibri"/>
          <w:color w:val="0A0A0A"/>
          <w:sz w:val="21"/>
          <w:szCs w:val="21"/>
        </w:rPr>
        <w:t xml:space="preserve">the Provider deploys the means described in clause 2. It guarantees no number of enquiries, appointments or sales.</w:t>
      </w:r>
    </w:p>
    <w:p>
      <w:pPr>
        <w:pStyle w:val="ListParagraph"/>
        <w:numPr>
          <w:ilvl w:val="0"/>
          <w:numId w:val="2"/>
        </w:numPr>
        <w:spacing w:after="88" w:line="264"/>
      </w:pPr>
      <w:r>
        <w:rPr>
          <w:rFonts w:ascii="Calibri" w:cs="Calibri" w:eastAsia="Calibri" w:hAnsi="Calibri"/>
          <w:b/>
          <w:bCs/>
          <w:color w:val="0A0A0A"/>
          <w:sz w:val="21"/>
          <w:szCs w:val="21"/>
        </w:rPr>
        <w:t xml:space="preserve">Third-party dependencies: </w:t>
      </w:r>
      <w:r>
        <w:rPr>
          <w:rFonts w:ascii="Calibri" w:cs="Calibri" w:eastAsia="Calibri" w:hAnsi="Calibri"/>
          <w:color w:val="0A0A0A"/>
          <w:sz w:val="21"/>
          <w:szCs w:val="21"/>
        </w:rPr>
        <w:t xml:space="preserve">the service relies on third-party providers (WhatsApp / Meta, booking calendar, Google, automation hosting, AI providers). The Provider is not liable for outages, changes of terms or account suspensions attributable to those third parties, nor for events of force majeure.</w:t>
      </w:r>
    </w:p>
    <w:p>
      <w:pPr>
        <w:pStyle w:val="ListParagraph"/>
        <w:numPr>
          <w:ilvl w:val="0"/>
          <w:numId w:val="2"/>
        </w:numPr>
        <w:spacing w:after="88" w:line="264"/>
      </w:pPr>
      <w:r>
        <w:rPr>
          <w:rFonts w:ascii="Calibri" w:cs="Calibri" w:eastAsia="Calibri" w:hAnsi="Calibri"/>
          <w:b/>
          <w:bCs/>
          <w:color w:val="0A0A0A"/>
          <w:sz w:val="21"/>
          <w:szCs w:val="21"/>
        </w:rPr>
        <w:t xml:space="preserve">Limitation of liability: </w:t>
      </w:r>
      <w:r>
        <w:rPr>
          <w:rFonts w:ascii="Calibri" w:cs="Calibri" w:eastAsia="Calibri" w:hAnsi="Calibri"/>
          <w:color w:val="0A0A0A"/>
          <w:sz w:val="21"/>
          <w:szCs w:val="21"/>
        </w:rPr>
        <w:t xml:space="preserve">the Provider’s total liability, for all losses combined, is capped at the amount actually paid by the Client for the last twelve (12) months of subscription. The Provider is in no case liable for indirect losses (loss of revenue, clientele, data or reputation).</w:t>
      </w:r>
    </w:p>
    <w:p>
      <w:pPr>
        <w:pStyle w:val="Heading1"/>
        <w:spacing w:after="110" w:before="240"/>
      </w:pPr>
      <w:r>
        <w:rPr>
          <w:rFonts w:ascii="Calibri" w:cs="Calibri" w:eastAsia="Calibri" w:hAnsi="Calibri"/>
          <w:b/>
          <w:bCs/>
          <w:color w:val="0B1D33"/>
          <w:sz w:val="26"/>
          <w:szCs w:val="26"/>
        </w:rPr>
        <w:t xml:space="preserve">7. Data and GDPR</w:t>
      </w:r>
    </w:p>
    <w:p>
      <w:pPr>
        <w:pStyle w:val="ListParagraph"/>
        <w:numPr>
          <w:ilvl w:val="0"/>
          <w:numId w:val="2"/>
        </w:numPr>
        <w:spacing w:after="88" w:line="264"/>
      </w:pPr>
      <w:r>
        <w:rPr>
          <w:rFonts w:ascii="Calibri" w:cs="Calibri" w:eastAsia="Calibri" w:hAnsi="Calibri"/>
          <w:b/>
          <w:bCs/>
          <w:color w:val="0A0A0A"/>
          <w:sz w:val="21"/>
          <w:szCs w:val="21"/>
        </w:rPr>
        <w:t xml:space="preserve">Ownership: </w:t>
      </w:r>
      <w:r>
        <w:rPr>
          <w:rFonts w:ascii="Calibri" w:cs="Calibri" w:eastAsia="Calibri" w:hAnsi="Calibri"/>
          <w:color w:val="0A0A0A"/>
          <w:sz w:val="21"/>
          <w:szCs w:val="21"/>
        </w:rPr>
        <w:t xml:space="preserve">the data processed (contacts, exchanges, qualifications) belongs to the Client.</w:t>
      </w:r>
    </w:p>
    <w:p>
      <w:pPr>
        <w:pStyle w:val="ListParagraph"/>
        <w:numPr>
          <w:ilvl w:val="0"/>
          <w:numId w:val="2"/>
        </w:numPr>
        <w:spacing w:after="88" w:line="264"/>
      </w:pPr>
      <w:r>
        <w:rPr>
          <w:rFonts w:ascii="Calibri" w:cs="Calibri" w:eastAsia="Calibri" w:hAnsi="Calibri"/>
          <w:b/>
          <w:bCs/>
          <w:color w:val="0A0A0A"/>
          <w:sz w:val="21"/>
          <w:szCs w:val="21"/>
        </w:rPr>
        <w:t xml:space="preserve">Roles: </w:t>
      </w:r>
      <w:r>
        <w:rPr>
          <w:rFonts w:ascii="Calibri" w:cs="Calibri" w:eastAsia="Calibri" w:hAnsi="Calibri"/>
          <w:color w:val="0A0A0A"/>
          <w:sz w:val="21"/>
          <w:szCs w:val="21"/>
        </w:rPr>
        <w:t xml:space="preserve">the Client is the data controller; the Provider acts as processor under the UK GDPR, solely on the Client’s behalf and instructions.</w:t>
      </w:r>
    </w:p>
    <w:p>
      <w:pPr>
        <w:pStyle w:val="ListParagraph"/>
        <w:numPr>
          <w:ilvl w:val="0"/>
          <w:numId w:val="2"/>
        </w:numPr>
        <w:spacing w:after="88" w:line="264"/>
      </w:pPr>
      <w:r>
        <w:rPr>
          <w:rFonts w:ascii="Calibri" w:cs="Calibri" w:eastAsia="Calibri" w:hAnsi="Calibri"/>
          <w:b/>
          <w:bCs/>
          <w:color w:val="0A0A0A"/>
          <w:sz w:val="21"/>
          <w:szCs w:val="21"/>
        </w:rPr>
        <w:t xml:space="preserve">Lawful basis: </w:t>
      </w:r>
      <w:r>
        <w:rPr>
          <w:rFonts w:ascii="Calibri" w:cs="Calibri" w:eastAsia="Calibri" w:hAnsi="Calibri"/>
          <w:color w:val="0A0A0A"/>
          <w:sz w:val="21"/>
          <w:szCs w:val="21"/>
        </w:rPr>
        <w:t xml:space="preserve">the Client warrants that it has a valid lawful basis to be contacted by its inbound enquirers and to process their data.</w:t>
      </w:r>
    </w:p>
    <w:p>
      <w:pPr>
        <w:pStyle w:val="ListParagraph"/>
        <w:numPr>
          <w:ilvl w:val="0"/>
          <w:numId w:val="2"/>
        </w:numPr>
        <w:spacing w:after="88" w:line="264"/>
      </w:pPr>
      <w:r>
        <w:rPr>
          <w:rFonts w:ascii="Calibri" w:cs="Calibri" w:eastAsia="Calibri" w:hAnsi="Calibri"/>
          <w:b/>
          <w:bCs/>
          <w:color w:val="0A0A0A"/>
          <w:sz w:val="21"/>
          <w:szCs w:val="21"/>
        </w:rPr>
        <w:t xml:space="preserve">Sub-processors: </w:t>
      </w:r>
      <w:r>
        <w:rPr>
          <w:rFonts w:ascii="Calibri" w:cs="Calibri" w:eastAsia="Calibri" w:hAnsi="Calibri"/>
          <w:color w:val="0A0A0A"/>
          <w:sz w:val="21"/>
          <w:szCs w:val="21"/>
        </w:rPr>
        <w:t xml:space="preserve">the service relies notably on WhatsApp / Meta, Google, a booking tool, an automation host and AI providers. The Client is informed of and accepts this.</w:t>
      </w:r>
    </w:p>
    <w:p>
      <w:pPr>
        <w:pStyle w:val="ListParagraph"/>
        <w:numPr>
          <w:ilvl w:val="0"/>
          <w:numId w:val="2"/>
        </w:numPr>
        <w:spacing w:after="88" w:line="264"/>
      </w:pPr>
      <w:r>
        <w:rPr>
          <w:rFonts w:ascii="Calibri" w:cs="Calibri" w:eastAsia="Calibri" w:hAnsi="Calibri"/>
          <w:b/>
          <w:bCs/>
          <w:color w:val="0A0A0A"/>
          <w:sz w:val="21"/>
          <w:szCs w:val="21"/>
        </w:rPr>
        <w:t xml:space="preserve">Export and erasure: </w:t>
      </w:r>
      <w:r>
        <w:rPr>
          <w:rFonts w:ascii="Calibri" w:cs="Calibri" w:eastAsia="Calibri" w:hAnsi="Calibri"/>
          <w:color w:val="0A0A0A"/>
          <w:sz w:val="21"/>
          <w:szCs w:val="21"/>
        </w:rPr>
        <w:t xml:space="preserve">the Client may request at any time the export or erasure of its data. On termination, data is deleted within 30 days, save any legal retention obligation.</w:t>
      </w:r>
    </w:p>
    <w:p>
      <w:pPr>
        <w:pStyle w:val="Heading1"/>
        <w:spacing w:after="110" w:before="240"/>
      </w:pPr>
      <w:r>
        <w:rPr>
          <w:rFonts w:ascii="Calibri" w:cs="Calibri" w:eastAsia="Calibri" w:hAnsi="Calibri"/>
          <w:b/>
          <w:bCs/>
          <w:color w:val="0B1D33"/>
          <w:sz w:val="26"/>
          <w:szCs w:val="26"/>
        </w:rPr>
        <w:t xml:space="preserve">8. Confidentiality</w:t>
      </w:r>
    </w:p>
    <w:p>
      <w:pPr>
        <w:spacing w:after="120" w:line="264"/>
      </w:pPr>
      <w:r>
        <w:rPr>
          <w:rFonts w:ascii="Calibri" w:cs="Calibri" w:eastAsia="Calibri" w:hAnsi="Calibri"/>
          <w:color w:val="0A0A0A"/>
          <w:sz w:val="21"/>
          <w:szCs w:val="21"/>
        </w:rPr>
        <w:t xml:space="preserve">Each Party undertakes to keep strictly confidential the other’s non-public information (commercial data, contacts, methods, pricing) and to use it solely to perform this agreement. This obligation applies for the whole term of this agreement and for three (3) years after it ends.</w:t>
      </w:r>
    </w:p>
    <w:p>
      <w:pPr>
        <w:pStyle w:val="Heading1"/>
        <w:spacing w:after="110" w:before="240"/>
      </w:pPr>
      <w:r>
        <w:rPr>
          <w:rFonts w:ascii="Calibri" w:cs="Calibri" w:eastAsia="Calibri" w:hAnsi="Calibri"/>
          <w:b/>
          <w:bCs/>
          <w:color w:val="0B1D33"/>
          <w:sz w:val="26"/>
          <w:szCs w:val="26"/>
        </w:rPr>
        <w:t xml:space="preserve">9. Payment</w:t>
      </w:r>
    </w:p>
    <w:p>
      <w:pPr>
        <w:pStyle w:val="ListParagraph"/>
        <w:numPr>
          <w:ilvl w:val="0"/>
          <w:numId w:val="2"/>
        </w:numPr>
        <w:spacing w:after="88" w:line="264"/>
      </w:pPr>
      <w:r>
        <w:rPr>
          <w:rFonts w:ascii="Calibri" w:cs="Calibri" w:eastAsia="Calibri" w:hAnsi="Calibri"/>
          <w:color w:val="0A0A0A"/>
          <w:sz w:val="21"/>
          <w:szCs w:val="21"/>
        </w:rPr>
        <w:t xml:space="preserve">Payment by Stripe or any other means agreed at signature, in GBP: the setup fee on ordering, then the subscription charged monthly in advance; the annual plan in one payment, on ordering.</w:t>
      </w:r>
    </w:p>
    <w:p>
      <w:pPr>
        <w:pStyle w:val="ListParagraph"/>
        <w:numPr>
          <w:ilvl w:val="0"/>
          <w:numId w:val="2"/>
        </w:numPr>
        <w:spacing w:after="88" w:line="264"/>
      </w:pPr>
      <w:r>
        <w:rPr>
          <w:rFonts w:ascii="Calibri" w:cs="Calibri" w:eastAsia="Calibri" w:hAnsi="Calibri"/>
          <w:b/>
          <w:bCs/>
          <w:color w:val="0A0A0A"/>
          <w:sz w:val="21"/>
          <w:szCs w:val="21"/>
        </w:rPr>
        <w:t xml:space="preserve">Non-payment: </w:t>
      </w:r>
      <w:r>
        <w:rPr>
          <w:rFonts w:ascii="Calibri" w:cs="Calibri" w:eastAsia="Calibri" w:hAnsi="Calibri"/>
          <w:color w:val="0A0A0A"/>
          <w:sz w:val="21"/>
          <w:szCs w:val="21"/>
        </w:rPr>
        <w:t xml:space="preserve">on a missed payment, the Provider sends a reminder. If not cured within 7 days, the service is suspended until payment. A suspension for non-payment gives no right to any refund.</w:t>
      </w:r>
    </w:p>
    <w:p>
      <w:pPr>
        <w:pStyle w:val="ListParagraph"/>
        <w:numPr>
          <w:ilvl w:val="0"/>
          <w:numId w:val="2"/>
        </w:numPr>
        <w:spacing w:after="88" w:line="264"/>
      </w:pPr>
      <w:r>
        <w:rPr>
          <w:rFonts w:ascii="Calibri" w:cs="Calibri" w:eastAsia="Calibri" w:hAnsi="Calibri"/>
          <w:color w:val="0A0A0A"/>
          <w:sz w:val="21"/>
          <w:szCs w:val="21"/>
        </w:rPr>
        <w:t xml:space="preserve">The setup fee is non-refundable. The 30-day guarantee (clause 4) covers the first month of subscription.</w:t>
      </w:r>
    </w:p>
    <w:p>
      <w:pPr>
        <w:pStyle w:val="Heading1"/>
        <w:spacing w:after="110" w:before="240"/>
      </w:pPr>
      <w:r>
        <w:rPr>
          <w:rFonts w:ascii="Calibri" w:cs="Calibri" w:eastAsia="Calibri" w:hAnsi="Calibri"/>
          <w:b/>
          <w:bCs/>
          <w:color w:val="0B1D33"/>
          <w:sz w:val="26"/>
          <w:szCs w:val="26"/>
        </w:rPr>
        <w:t xml:space="preserve">10. General</w:t>
      </w:r>
    </w:p>
    <w:p>
      <w:pPr>
        <w:pStyle w:val="ListParagraph"/>
        <w:numPr>
          <w:ilvl w:val="0"/>
          <w:numId w:val="2"/>
        </w:numPr>
        <w:spacing w:after="88" w:line="264"/>
      </w:pPr>
      <w:r>
        <w:rPr>
          <w:rFonts w:ascii="Calibri" w:cs="Calibri" w:eastAsia="Calibri" w:hAnsi="Calibri"/>
          <w:b/>
          <w:bCs/>
          <w:color w:val="0A0A0A"/>
          <w:sz w:val="21"/>
          <w:szCs w:val="21"/>
        </w:rPr>
        <w:t xml:space="preserve">Governing law: </w:t>
      </w:r>
      <w:r>
        <w:rPr>
          <w:rFonts w:ascii="Calibri" w:cs="Calibri" w:eastAsia="Calibri" w:hAnsi="Calibri"/>
          <w:color w:val="0A0A0A"/>
          <w:sz w:val="21"/>
          <w:szCs w:val="21"/>
        </w:rPr>
        <w:t xml:space="preserve">this agreement is governed by English law. Any dispute falls to the competent courts of England and Wales.</w:t>
      </w:r>
    </w:p>
    <w:p>
      <w:pPr>
        <w:pStyle w:val="ListParagraph"/>
        <w:numPr>
          <w:ilvl w:val="0"/>
          <w:numId w:val="2"/>
        </w:numPr>
        <w:spacing w:after="88" w:line="264"/>
      </w:pPr>
      <w:r>
        <w:rPr>
          <w:rFonts w:ascii="Calibri" w:cs="Calibri" w:eastAsia="Calibri" w:hAnsi="Calibri"/>
          <w:color w:val="0A0A0A"/>
          <w:sz w:val="21"/>
          <w:szCs w:val="21"/>
        </w:rPr>
        <w:t xml:space="preserve">Entire agreement: this agreement and its appendices constitute the entire agreement and supersede any prior exchange.</w:t>
      </w:r>
    </w:p>
    <w:p>
      <w:pPr>
        <w:pStyle w:val="ListParagraph"/>
        <w:numPr>
          <w:ilvl w:val="0"/>
          <w:numId w:val="2"/>
        </w:numPr>
        <w:spacing w:after="88" w:line="264"/>
      </w:pPr>
      <w:r>
        <w:rPr>
          <w:rFonts w:ascii="Calibri" w:cs="Calibri" w:eastAsia="Calibri" w:hAnsi="Calibri"/>
          <w:color w:val="0A0A0A"/>
          <w:sz w:val="21"/>
          <w:szCs w:val="21"/>
        </w:rPr>
        <w:t xml:space="preserve">Amendments: any change requires a writing signed by both Parties.</w:t>
      </w:r>
    </w:p>
    <w:p>
      <w:pPr>
        <w:pStyle w:val="ListParagraph"/>
        <w:numPr>
          <w:ilvl w:val="0"/>
          <w:numId w:val="2"/>
        </w:numPr>
        <w:spacing w:after="88" w:line="264"/>
      </w:pPr>
      <w:r>
        <w:rPr>
          <w:rFonts w:ascii="Calibri" w:cs="Calibri" w:eastAsia="Calibri" w:hAnsi="Calibri"/>
          <w:color w:val="0A0A0A"/>
          <w:sz w:val="21"/>
          <w:szCs w:val="21"/>
        </w:rPr>
        <w:t xml:space="preserve">Severability: if any clause is held invalid, the others remain in force.</w:t>
      </w:r>
    </w:p>
    <w:p>
      <w:pPr>
        <w:pStyle w:val="Heading1"/>
        <w:spacing w:after="110" w:before="240"/>
      </w:pPr>
      <w:r>
        <w:rPr>
          <w:rFonts w:ascii="Calibri" w:cs="Calibri" w:eastAsia="Calibri" w:hAnsi="Calibri"/>
          <w:b/>
          <w:bCs/>
          <w:color w:val="0B1D33"/>
          <w:sz w:val="26"/>
          <w:szCs w:val="26"/>
        </w:rPr>
        <w:t xml:space="preserve">Signatures</w:t>
      </w:r>
    </w:p>
    <w:p>
      <w:pPr>
        <w:spacing w:after="120" w:line="264"/>
      </w:pPr>
      <w:r>
        <w:rPr>
          <w:rFonts w:ascii="Calibri" w:cs="Calibri" w:eastAsia="Calibri" w:hAnsi="Calibri"/>
          <w:color w:val="0A0A0A"/>
          <w:sz w:val="21"/>
          <w:szCs w:val="21"/>
        </w:rPr>
        <w:t xml:space="preserve">Executed in </w:t>
      </w:r>
      <w:r>
        <w:rPr>
          <w:rFonts w:ascii="Calibri" w:cs="Calibri" w:eastAsia="Calibri" w:hAnsi="Calibri"/>
          <w:b/>
          <w:bCs/>
          <w:color w:val="2563EB"/>
          <w:sz w:val="21"/>
          <w:szCs w:val="21"/>
        </w:rPr>
        <w:t xml:space="preserve">[Place]</w:t>
      </w:r>
      <w:r>
        <w:rPr>
          <w:rFonts w:ascii="Calibri" w:cs="Calibri" w:eastAsia="Calibri" w:hAnsi="Calibri"/>
          <w:color w:val="0A0A0A"/>
          <w:sz w:val="21"/>
          <w:szCs w:val="21"/>
        </w:rPr>
        <w:t xml:space="preserve">, </w:t>
      </w:r>
      <w:r>
        <w:rPr>
          <w:rFonts w:ascii="Calibri" w:cs="Calibri" w:eastAsia="Calibri" w:hAnsi="Calibri"/>
          <w:b/>
          <w:bCs/>
          <w:color w:val="2563EB"/>
          <w:sz w:val="21"/>
          <w:szCs w:val="21"/>
        </w:rPr>
        <w:t xml:space="preserve">[Date]</w:t>
      </w:r>
      <w:r>
        <w:rPr>
          <w:rFonts w:ascii="Calibri" w:cs="Calibri" w:eastAsia="Calibri" w:hAnsi="Calibri"/>
          <w:color w:val="0A0A0A"/>
          <w:sz w:val="21"/>
          <w:szCs w:val="21"/>
        </w:rPr>
        <w:t xml:space="preserve">.</w:t>
      </w:r>
    </w:p>
    <w:tbl>
      <w:tblPr>
        <w:tblW w:type="dxa" w:w="9360"/>
        <w:tblBorders>
          <w:top w:val="single" w:color="CBD5E1" w:sz="4"/>
          <w:left w:val="single" w:color="CBD5E1" w:sz="4"/>
          <w:bottom w:val="single" w:color="CBD5E1" w:sz="4"/>
          <w:right w:val="single" w:color="CBD5E1" w:sz="4"/>
          <w:insideH w:val="none" w:color="auto" w:sz="0"/>
          <w:insideV w:val="single" w:color="CBD5E1" w:sz="4"/>
        </w:tblBorders>
      </w:tblPr>
      <w:tblGrid>
        <w:gridCol w:w="4680"/>
        <w:gridCol w:w="4680"/>
      </w:tblGrid>
      <w:tr>
        <w:tc>
          <w:tcPr>
            <w:tcW w:type="dxa" w:w="4680"/>
            <w:tcMar>
              <w:top w:type="dxa" w:w="80"/>
              <w:left w:type="dxa" w:w="120"/>
              <w:bottom w:type="dxa" w:w="120"/>
              <w:right w:type="dxa" w:w="120"/>
            </w:tcMar>
          </w:tcPr>
          <w:p>
            <w:pPr>
              <w:spacing w:after="140"/>
            </w:pPr>
            <w:r>
              <w:rPr>
                <w:rFonts w:ascii="Calibri" w:cs="Calibri" w:eastAsia="Calibri" w:hAnsi="Calibri"/>
                <w:b/>
                <w:bCs/>
                <w:color w:val="0B1D33"/>
                <w:sz w:val="20"/>
                <w:szCs w:val="20"/>
              </w:rPr>
              <w:t xml:space="preserve">The Provider</w:t>
            </w:r>
          </w:p>
          <w:p>
            <w:pPr>
              <w:spacing w:after="140"/>
            </w:pPr>
            <w:r>
              <w:rPr>
                <w:rFonts w:ascii="Calibri" w:cs="Calibri" w:eastAsia="Calibri" w:hAnsi="Calibri"/>
                <w:b w:val="false"/>
                <w:bCs w:val="false"/>
                <w:color w:val="0A0A0A"/>
                <w:sz w:val="20"/>
                <w:szCs w:val="20"/>
              </w:rPr>
              <w:t xml:space="preserve">For Girlden LTD (GILD-TECH)</w:t>
            </w:r>
          </w:p>
          <w:p>
            <w:pPr>
              <w:spacing w:after="140"/>
            </w:pPr>
            <w:r>
              <w:rPr>
                <w:rFonts w:ascii="Calibri" w:cs="Calibri" w:eastAsia="Calibri" w:hAnsi="Calibri"/>
                <w:b w:val="false"/>
                <w:bCs w:val="false"/>
                <w:color w:val="2563EB"/>
                <w:sz w:val="20"/>
                <w:szCs w:val="20"/>
              </w:rPr>
              <w:t xml:space="preserve">Name: [Name]</w:t>
            </w:r>
          </w:p>
          <w:p>
            <w:pPr>
              <w:spacing w:after="140"/>
            </w:pPr>
            <w:r>
              <w:rPr>
                <w:rFonts w:ascii="Calibri" w:cs="Calibri" w:eastAsia="Calibri" w:hAnsi="Calibri"/>
                <w:b w:val="false"/>
                <w:bCs w:val="false"/>
                <w:color w:val="2563EB"/>
                <w:sz w:val="20"/>
                <w:szCs w:val="20"/>
              </w:rPr>
              <w:t xml:space="preserve">Title: [Title]</w:t>
            </w:r>
          </w:p>
          <w:p>
            <w:pPr>
              <w:spacing w:after="140"/>
            </w:pPr>
            <w:r>
              <w:rPr>
                <w:rFonts w:ascii="Calibri" w:cs="Calibri" w:eastAsia="Calibri" w:hAnsi="Calibri"/>
                <w:b w:val="false"/>
                <w:bCs w:val="false"/>
                <w:color w:val="0A0A0A"/>
                <w:sz w:val="20"/>
                <w:szCs w:val="20"/>
              </w:rPr>
              <w:t xml:space="preserve">Signature:</w:t>
            </w:r>
          </w:p>
          <w:p>
            <w:pPr>
              <w:spacing w:after="140"/>
            </w:pPr>
            <w:r>
              <w:rPr>
                <w:rFonts w:ascii="Calibri" w:cs="Calibri" w:eastAsia="Calibri" w:hAnsi="Calibri"/>
                <w:b w:val="false"/>
                <w:bCs w:val="false"/>
                <w:color w:val="0A0A0A"/>
                <w:sz w:val="20"/>
                <w:szCs w:val="20"/>
              </w:rPr>
              <w:t xml:space="preserve"> </w:t>
            </w:r>
          </w:p>
          <w:p>
            <w:pPr>
              <w:spacing w:after="140"/>
            </w:pPr>
            <w:r>
              <w:rPr>
                <w:rFonts w:ascii="Calibri" w:cs="Calibri" w:eastAsia="Calibri" w:hAnsi="Calibri"/>
                <w:b w:val="false"/>
                <w:bCs w:val="false"/>
                <w:color w:val="0A0A0A"/>
                <w:sz w:val="20"/>
                <w:szCs w:val="20"/>
              </w:rPr>
              <w:t xml:space="preserve"> </w:t>
            </w:r>
          </w:p>
        </w:tc>
        <w:tc>
          <w:tcPr>
            <w:tcW w:type="dxa" w:w="4680"/>
            <w:tcMar>
              <w:top w:type="dxa" w:w="80"/>
              <w:left w:type="dxa" w:w="120"/>
              <w:bottom w:type="dxa" w:w="120"/>
              <w:right w:type="dxa" w:w="120"/>
            </w:tcMar>
          </w:tcPr>
          <w:p>
            <w:pPr>
              <w:spacing w:after="140"/>
            </w:pPr>
            <w:r>
              <w:rPr>
                <w:rFonts w:ascii="Calibri" w:cs="Calibri" w:eastAsia="Calibri" w:hAnsi="Calibri"/>
                <w:b/>
                <w:bCs/>
                <w:color w:val="0B1D33"/>
                <w:sz w:val="20"/>
                <w:szCs w:val="20"/>
              </w:rPr>
              <w:t xml:space="preserve">The Client</w:t>
            </w:r>
          </w:p>
          <w:p>
            <w:pPr>
              <w:spacing w:after="140"/>
            </w:pPr>
            <w:r>
              <w:rPr>
                <w:rFonts w:ascii="Calibri" w:cs="Calibri" w:eastAsia="Calibri" w:hAnsi="Calibri"/>
                <w:b w:val="false"/>
                <w:bCs w:val="false"/>
                <w:color w:val="2563EB"/>
                <w:sz w:val="20"/>
                <w:szCs w:val="20"/>
              </w:rPr>
              <w:t xml:space="preserve">For [Client legal name]</w:t>
            </w:r>
          </w:p>
          <w:p>
            <w:pPr>
              <w:spacing w:after="140"/>
            </w:pPr>
            <w:r>
              <w:rPr>
                <w:rFonts w:ascii="Calibri" w:cs="Calibri" w:eastAsia="Calibri" w:hAnsi="Calibri"/>
                <w:b w:val="false"/>
                <w:bCs w:val="false"/>
                <w:color w:val="2563EB"/>
                <w:sz w:val="20"/>
                <w:szCs w:val="20"/>
              </w:rPr>
              <w:t xml:space="preserve">Name: [Name]</w:t>
            </w:r>
          </w:p>
          <w:p>
            <w:pPr>
              <w:spacing w:after="140"/>
            </w:pPr>
            <w:r>
              <w:rPr>
                <w:rFonts w:ascii="Calibri" w:cs="Calibri" w:eastAsia="Calibri" w:hAnsi="Calibri"/>
                <w:b w:val="false"/>
                <w:bCs w:val="false"/>
                <w:color w:val="2563EB"/>
                <w:sz w:val="20"/>
                <w:szCs w:val="20"/>
              </w:rPr>
              <w:t xml:space="preserve">Title: [Title]</w:t>
            </w:r>
          </w:p>
          <w:p>
            <w:pPr>
              <w:spacing w:after="140"/>
            </w:pPr>
            <w:r>
              <w:rPr>
                <w:rFonts w:ascii="Calibri" w:cs="Calibri" w:eastAsia="Calibri" w:hAnsi="Calibri"/>
                <w:b w:val="false"/>
                <w:bCs w:val="false"/>
                <w:color w:val="0A0A0A"/>
                <w:sz w:val="20"/>
                <w:szCs w:val="20"/>
              </w:rPr>
              <w:t xml:space="preserve">Signature:</w:t>
            </w:r>
          </w:p>
          <w:p>
            <w:pPr>
              <w:spacing w:after="140"/>
            </w:pPr>
            <w:r>
              <w:rPr>
                <w:rFonts w:ascii="Calibri" w:cs="Calibri" w:eastAsia="Calibri" w:hAnsi="Calibri"/>
                <w:b w:val="false"/>
                <w:bCs w:val="false"/>
                <w:color w:val="0A0A0A"/>
                <w:sz w:val="20"/>
                <w:szCs w:val="20"/>
              </w:rPr>
              <w:t xml:space="preserve"> </w:t>
            </w:r>
          </w:p>
          <w:p>
            <w:pPr>
              <w:spacing w:after="140"/>
            </w:pPr>
            <w:r>
              <w:rPr>
                <w:rFonts w:ascii="Calibri" w:cs="Calibri" w:eastAsia="Calibri" w:hAnsi="Calibri"/>
                <w:b w:val="false"/>
                <w:bCs w:val="false"/>
                <w:color w:val="0A0A0A"/>
                <w:sz w:val="20"/>
                <w:szCs w:val="20"/>
              </w:rPr>
              <w:t xml:space="preserve"> </w:t>
            </w:r>
          </w:p>
        </w:tc>
      </w:tr>
    </w:tbl>
    <w:sectPr>
      <w:headerReference w:type="default" r:id="rId7"/>
      <w:footerReference w:type="default" r:id="rId8"/>
      <w:pgSz w:w="11906" w:h="16838" w:orient="portrait"/>
      <w:pgMar w:top="14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pBdr>
      <w:jc w:val="center"/>
    </w:pPr>
    <w:r>
      <w:rPr>
        <w:rFonts w:ascii="Calibri" w:cs="Calibri" w:eastAsia="Calibri" w:hAnsi="Calibri"/>
        <w:color w:val="64748B"/>
        <w:sz w:val="15"/>
        <w:szCs w:val="15"/>
      </w:rPr>
      <w:t xml:space="preserve">Girlden LTD, GILD-TECH Service Agreement, </w:t>
    </w:r>
    <w:r>
      <w:rPr>
        <w:rFonts w:ascii="Calibri" w:cs="Calibri" w:eastAsia="Calibri" w:hAnsi="Calibri"/>
        <w:color w:val="64748B"/>
        <w:sz w:val="15"/>
        <w:szCs w:val="15"/>
      </w:rPr>
      <w:t xml:space="preserve">page </w:t>
    </w:r>
    <w:r>
      <w:rPr>
        <w:rFonts w:ascii="Calibri" w:cs="Calibri" w:eastAsia="Calibri" w:hAnsi="Calibri"/>
        <w:color w:val="64748B"/>
        <w:sz w:val="15"/>
        <w:szCs w:val="15"/>
      </w:rPr>
      <w:fldChar w:fldCharType="begin"/>
      <w:instrText xml:space="preserve">PAGE</w:instrText>
      <w:fldChar w:fldCharType="separate"/>
      <w:fldChar w:fldCharType="end"/>
    </w:r>
    <w:r>
      <w:rPr>
        <w:rFonts w:ascii="Calibri" w:cs="Calibri" w:eastAsia="Calibri" w:hAnsi="Calibri"/>
        <w:color w:val="64748B"/>
        <w:sz w:val="15"/>
        <w:szCs w:val="15"/>
      </w:rPr>
      <w:t xml:space="preserve"> / </w:t>
    </w:r>
    <w:r>
      <w:rPr>
        <w:rFonts w:ascii="Calibri" w:cs="Calibri" w:eastAsia="Calibri" w:hAnsi="Calibri"/>
        <w:color w:val="64748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b/>
        <w:bCs/>
        <w:color w:val="2563EB"/>
        <w:sz w:val="30"/>
        <w:szCs w:val="30"/>
      </w:rPr>
      <w:t xml:space="preserve">GILD-TECH</w:t>
    </w:r>
  </w:p>
  <w:p>
    <w:pPr>
      <w:pBdr>
        <w:bottom w:val="single" w:color="2563EB" w:sz="8"/>
      </w:pBdr>
      <w:spacing w:after="60"/>
    </w:pPr>
    <w:r>
      <w:rPr>
        <w:rFonts w:ascii="Calibri" w:cs="Calibri" w:eastAsia="Calibri" w:hAnsi="Calibri"/>
        <w:color w:val="64748B"/>
        <w:sz w:val="15"/>
        <w:szCs w:val="15"/>
      </w:rPr>
      <w:t xml:space="preserve">Girlden LTD, CRN 14837617, 71-75 Shelton Street, Covent Garden, London WC2H 9JQ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563E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A0A0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AGREEMENT — Template</dc:title>
  <dc:creator>Girlden LTD</dc:creator>
  <cp:lastModifiedBy>Un-named</cp:lastModifiedBy>
  <cp:revision>1</cp:revision>
  <dcterms:created xsi:type="dcterms:W3CDTF">2026-09-08T11:36:38.405Z</dcterms:created>
  <dcterms:modified xsi:type="dcterms:W3CDTF">2026-09-08T11:36:38.405Z</dcterms:modified>
</cp:coreProperties>
</file>

<file path=docProps/custom.xml><?xml version="1.0" encoding="utf-8"?>
<Properties xmlns="http://schemas.openxmlformats.org/officeDocument/2006/custom-properties" xmlns:vt="http://schemas.openxmlformats.org/officeDocument/2006/docPropsVTypes"/>
</file>