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44"/>
        </w:rPr>
        <w:t>借鉴 Harvey 模式优化调解平台的架构体系、功能与商业化建议</w:t>
      </w:r>
    </w:p>
    <w:p>
      <w:pPr>
        <w:spacing w:before="0" w:after="240" w:line="240" w:lineRule="auto"/>
        <w:jc w:val="left"/>
      </w:pPr>
      <w:r>
        <w:rPr>
          <w:rFonts w:ascii="Hiragino Sans GB" w:hAnsi="Hiragino Sans GB" w:eastAsia="Hiragino Sans GB" w:cs="Hiragino Sans GB"/>
          <w:b w:val="0"/>
          <w:i/>
          <w:color w:val="6B7280"/>
          <w:sz w:val="22"/>
        </w:rPr>
        <w:t>定位：面向调解机构内部提效的工作台 SaaS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2"/>
              </w:rPr>
              <w:t>核心判断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2"/>
              </w:rPr>
              <w:t>如果借鉴 Harvey 的演进路径，这个项目最值得投入的方向不是继续堆单点 AI 功能，而是把现有工作台、知识库、案件分析和协同能力，升级为一套面向调解机构内部的“调解操作系统”。系统应围绕案件全生命周期，提供任务编排、知识调用、角色协作、结果留痕和组织治理能力，让 AI 从问答助手转变为可控、可审计、可复用的专业代理。</w:t>
            </w:r>
          </w:p>
        </w:tc>
      </w:tr>
    </w:tbl>
    <w:p>
      <w:pPr>
        <w:spacing w:before="0" w:after="120" w:line="264" w:lineRule="auto"/>
        <w:jc w:val="left"/>
      </w:pPr>
    </w:p>
    <w:p>
      <w:pPr>
        <w:spacing w:before="32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</w:rPr>
        <w:t>一、当前项目与 Harvey 模式的映射判断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现状优势：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项目已经具备官网引流、当事人建案、调解员工作台、知识库检索、OCR、案件分析、VALUE 能力和小程序接口，基础形态接近 Harvey 早期的“工作台 + 知识 + AI 分析”组合。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主要短板：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目前能力仍然偏功能堆叠，AI 主要以分析接口和聊天能力存在，尚未升级为可编排的案件工作流引擎，也缺少组织级知识沉淀、权限治理、标准化模板和复盘闭环。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Harvey 可借鉴之处：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Harvey 的关键不是模型更强，而是把复杂专业工作拆成 Plan、Research、Work、Deliver、Review 的代理闭环，并把知识、协作、安全与审计整合进同一平台。调解场景同样适合这种范式。</w:t>
      </w:r>
    </w:p>
    <w:p>
      <w:pPr>
        <w:spacing w:before="32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</w:rPr>
        <w:t>二、面向调解机构内部提效的目标产品定义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建议把平台重新定义为“调解机构工作台 SaaS”，而不是“通用在线调解网站”。前者强调机构生产力、案件周转效率、标准化交付、知识复用和管理可见性，商业上更容易形成持续付费、实施服务和续约逻辑。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584"/>
        <w:gridCol w:w="2016"/>
        <w:gridCol w:w="3168"/>
        <w:gridCol w:w="2592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维度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当前形态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建议升级形态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业务价值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产品定位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业务系统 + AI 功能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调解机构工作台 SaaS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从项目制交付走向订阅制收入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AI 角色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问答与分析辅助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案件执行代理与副驾驶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提高单个调解员人均产能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知识管理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零散检索与材料查看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机构知识底座 + 模板沉淀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形成组织复利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协作模式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单案查看与处理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角色分工 + 留痕协同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提升案件流转效率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管理能力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个体操作视角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机构级看板与治理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支持负责人管控质量和产能</w:t>
            </w:r>
          </w:p>
        </w:tc>
      </w:tr>
    </w:tbl>
    <w:p/>
    <w:p>
      <w:pPr>
        <w:spacing w:before="32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</w:rPr>
        <w:t>三、建议的目标技术架构体系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建议把当前 Nuxt 单体工作台逐步演进为“模块化单体 + 后台任务运行时”的结构，而不是一开始拆成大量微服务。第一阶段继续以 `mediation-workbench` 为主应用壳，内部按领域模块拆边界；第二阶段再把高负载和高异步能力拆成独立进程。这样既能控制复杂度，也方便保留现有 SQLite / Drizzle / H3 体系。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440"/>
        <w:gridCol w:w="2448"/>
        <w:gridCol w:w="2880"/>
        <w:gridCol w:w="2592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架构层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建议组件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主要职责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技术重点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接入层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Nuxt 页面、公开 API、小程序 API、WebSocket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统一承载当事人端、调解员端、开放接口与实时消息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BFF 聚合、鉴权、限流、会话隔离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领域层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案件域、调解流程域、文书域、知识域、组织治理域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封装核心业务规则与状态机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模块边界、领域事件、幂等更新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代理层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Agent Runtime、Prompt 模板、工具适配器、任务队列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执行案件分诊、分析、文书生成、复盘沉淀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异步任务、重试、超时、人工接管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知识层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OCR、Chunking、Embedding、检索索引、引用服务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完成材料解析、知识召回、证据定位与出处追踪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混合检索、版本化索引、权限过滤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治理层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RBAC、审计日志、配置中心、监控告警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保证多机构 SaaS 的权限、可观测性和合规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租户隔离、追踪链路、配置灰度</w:t>
            </w:r>
          </w:p>
        </w:tc>
      </w:tr>
    </w:tbl>
    <w:p/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1. 接入层与 BFF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建议把 `pages/party`、`pages/mediator`、`server/api` 和 `server/mp` 看作多个前端/渠道入口，上层统一接入 BFF 逻辑。BFF 的职责不是承载复杂业务，而是负责会话、鉴权、参数标准化、聚合视图和渠道差异适配。这样可以避免把案件规则继续散落在页面逻辑和零散 API 中。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2. 领域服务层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建议至少拆成五个内部领域模块：`case-domain`、`workflow-domain`、`document-domain`、`knowledge-domain`、`org-domain`。每个模块输出稳定的 service 接口和 repository 接口，禁止页面直接拼 SQL 或跨模块读写。以案件状态迁移、代理结果落库、审批结论写回为例，都应先经过领域服务封装。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3. 代理执行运行时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参考 Harvey 的 Plan、Research、Work、Deliver、Review 闭环，建议在服务端新增 Agent Runtime。Runtime 需要有任务表、步骤表、输入输出快照、工具调用记录、重试策略、超时控制和人工接管标记。这样 AI 不再只是一次性接口调用，而是可恢复、可审计、可中断的长任务执行。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4. 知识检索与证据引用层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现有 KB 与 OCR 应升级为可版本化的知识流水线：文档上传后先做 OCR / 清洗 / 分段 / 向量化 / 元数据标注，再写入检索索引。检索时不仅返回答案，还要返回 chunk 来源、页码、原文片段和权限校验结果，使代理输出具备可引用、可追责的证据链。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5. 治理与租户隔离层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内部提效型 SaaS 最终会面对多机构、多团队、多角色共存。建议从现在开始按租户维度设计数据模型与权限模型，即使底层仍是单库，也要在表结构、查询条件和日志上下文中保留 `tenant_id`、`workspace_id`、`actor_id` 等字段，为后续 SaaS 化和私有化部署做准备。</w:t>
      </w:r>
    </w:p>
    <w:p>
      <w:pPr>
        <w:spacing w:before="32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</w:rPr>
        <w:t>四、优先上线的核心功能包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1. 案件分诊代理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系统自动识别案件类型、争议焦点、证据完整度、紧急程度和建议流转路径，帮助前台受理或案管人员快速完成分派。该功能直接影响案件进入工作台后的第一小时效率。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2. 案件分析代理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在现有 VALUE 能力基础上，升级为多输出形态：争议摘要、双方诉求图谱、证据缺口清单、风险矩阵、可调区间推测、首轮沟通策略和调解推进建议。调解员不再需要从零整理案情。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3. 调解策略副驾驶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针对调解前准备、首轮接触、僵局处理、方案比较、协议落地等节点，输出“建议说法、建议动作、注意事项、引用依据、下一步模板”。这类功能更接近 Harvey 式专业工作副驾驶，能显著降低新人上手门槛。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4. 协议与文书生成中心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将协议、通知、会议纪要、办案记录、结案摘要等统一纳入模板中心。文书生成不能只做文本填充，而要与案件字段、代理结论、审批流和版本留痕打通，形成真正可复用的交付中心。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5. 机构知识工厂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每个结案案件都应进入复盘流程，将有效策略、关键表述、失败原因、协议条款和行业经验写回知识底座。系统由此形成组织记忆，而不只是搜索引擎。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6. 负责人管理看板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提供案件漏斗、平均处理时长、超期风险、代理使用率、知识命中率、文书复用率、协议达成率和调解员工作负荷分布，支撑机构负责人做产能管理和流程优化。</w:t>
      </w:r>
    </w:p>
    <w:p>
      <w:pPr>
        <w:spacing w:before="32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</w:rPr>
        <w:t>五、建议的代理体系设计与执行链路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872"/>
        <w:gridCol w:w="1728"/>
        <w:gridCol w:w="2448"/>
        <w:gridCol w:w="331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代理名称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触发时机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主要输入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主要输出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受理分诊代理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新案件创建后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案情描述、材料、来源渠道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案件标签、优先级、分派建议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材料研究代理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案件进入分析阶段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上传证据、OCR 文本、历史沟通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事实摘要、证据缺口、争议焦点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策略建议代理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调解前与沟通中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双方诉求、风险点、历史回合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沟通建议、方案路径、话术提示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协议生成代理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达成方向后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共识条款、支付安排、履约节点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协议草案、纪要、后续通知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复盘沉淀代理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结案后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办案记录、结果、调解员备注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经验卡片、模板优化建议、知识入库条目</w:t>
            </w:r>
          </w:p>
        </w:tc>
      </w:tr>
    </w:tbl>
    <w:p/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这些代理不应被设计成孤立按钮，而应成为案件状态机中的可编排节点。调解员可以接受、编辑、驳回或追问代理结果，系统同时保留引用来源和操作日志。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440"/>
        <w:gridCol w:w="2592"/>
        <w:gridCol w:w="2448"/>
        <w:gridCol w:w="288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执行阶段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运行时动作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建议存储对象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失败处理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Plan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生成任务计划与步骤图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agent_run、agent_step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允许人工改写计划并重新开始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Research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召回知识、抽取证据、汇总事实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retrieval_log、evidence_ref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检索为空时降级为人工补料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Work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调用分析工具、生成策略、整理文书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tool_call、draft_snapshot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支持超时重试和步骤重跑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Deliver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输出摘要、文书草案、任务建议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deliverable、version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要求人工确认后才能外发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Review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记录采纳率、修改点、复盘结论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review_note、knowledge_item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将低质量结果打回模板优化</w:t>
            </w:r>
          </w:p>
        </w:tc>
      </w:tr>
    </w:tbl>
    <w:p/>
    <w:p>
      <w:pPr>
        <w:spacing w:before="32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</w:rPr>
        <w:t>六、对现有项目的具体技术改造建议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第一步：引入案件工作流引擎：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在 `mediation-workbench/server` 内增加明确的案件状态机、任务表、代理执行记录表和审批流表，把当前分散在 API 和 utils 中的分析动作整合为可追踪的工作流。建议核心表至少包含 `cases`、`case_tasks`、`case_task_runs`、`case_events`、`approvals`。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第二步：重构 AI 能力入口：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将现有 public AI、case analysis、VALUE skills、chat workflow 统一为“代理执行层”，形成标准输入输出协议。协议需要显式定义 `input_context`、`retrieval_refs`、`tool_results`、`draft_output`、`review_state`，便于后续替换模型或接入多模型路由。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第三步：建设知识对象模型：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把法规、案例、机构模板、调解记录、行业经验、协议范本、培训资料抽象成统一知识对象。每个对象至少包含 `source_type`、`owner_scope`、`applicable_stage`、`sensitivity_level`、`version`、`embedding_status` 等字段，以支持权限过滤和索引重建。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第四步：补全组织治理模型：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在用户、角色、机构、案件、材料之外，引入团队、岗位、审批节点、共享空间、审计日志、模板版本和知识贡献度等对象。权限建议采用 RBAC + 资源作用域双层模型，即“角色定义能力，作用域定义可见范围”。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第五步：建立异步任务与事件总线：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对 OCR、索引、代理执行、文书生成、通知发送等耗时操作，建议统一接入任务队列。早期可用数据库任务表 + worker 进程实现，避免过早引入重型基础设施；当并发上升后，再平滑切换到 Redis / 消息队列。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第六步：补齐可观测性：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至少建设三类观测数据：业务指标、系统指标、模型指标。业务侧关注案件流转、代理采纳率、协议达成率；系统侧关注接口耗时、队列积压、任务失败率；模型侧关注 token 消耗、检索命中率、引用缺失率、人工回退率。</w:t>
      </w:r>
    </w:p>
    <w:p>
      <w:pPr>
        <w:spacing w:before="32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</w:rPr>
        <w:t>七、建议的核心数据模型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440"/>
        <w:gridCol w:w="3168"/>
        <w:gridCol w:w="2448"/>
        <w:gridCol w:w="2304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对象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关键字段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设计目的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备注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Case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tenant_id、case_number、stage、owner_id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描述案件主状态与归属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作为所有任务和文书的根对象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CaseTask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case_id、task_type、status、assignee_id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承载人工任务与代理任务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支持 SLA 和待办聚合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AgentRun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task_id、agent_type、plan_json、status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记录一次代理执行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支持重跑、回放与比对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EvidenceRef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run_id、source_id、chunk_id、quote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记录引用证据链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保证结果可追溯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KnowledgeItem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scope、tags、stage、version、quality_score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沉淀机构知识资产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支持上线后持续优化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Deliverable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case_id、template_id、version、approval_state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管理协议与文书版本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连接审批和外发流程</w:t>
            </w:r>
          </w:p>
        </w:tc>
      </w:tr>
    </w:tbl>
    <w:p/>
    <w:p>
      <w:pPr>
        <w:spacing w:before="32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</w:rPr>
        <w:t>八、商业化落地建议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1. 产品包装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建议采用“三层产品”包装。基础版解决案件管理与协同，专业版增加代理分析、模板中心和知识库，旗舰版再加入机构治理、数据看板、定制代理和私有化部署能力。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2. 收费模型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优先选择“机构年费 + 席位费 + AI 使用包 + 实施服务费”的混合模式。这样既能形成稳定 ARR，也能把前期咨询、知识梳理、模板配置和培训收入纳入商业模型。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3. 首批客户选择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优先切入有明确办案流程和管理痛点的调解机构、商会调解中心、行业协会调解中心和园区争议解决中心。这些组织更容易理解内部提效价值，也更愿意采购工作台型产品。</w:t>
      </w:r>
    </w:p>
    <w:p>
      <w:pPr>
        <w:spacing w:before="24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</w:rPr>
        <w:t>4. 交付路径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商业上不建议一开始追求大而全。应先用标准版 SaaS 快速验证“案件周转时间下降、文书生产效率提升、新人培训周期缩短、知识复用提升”四个核心价值，再逐步推出行业模板和机构定制代理。</w:t>
      </w:r>
    </w:p>
    <w:p>
      <w:pPr>
        <w:spacing w:before="32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</w:rPr>
        <w:t>九、分阶段实施路线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440"/>
        <w:gridCol w:w="1440"/>
        <w:gridCol w:w="3744"/>
        <w:gridCol w:w="2736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阶段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时间建议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建设重点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1F4D78"/>
                <w:sz w:val="20"/>
              </w:rPr>
              <w:t>验收指标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阶段一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0-3 个月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案件状态机、任务表、代理运行记录、基础检索引用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单案准备时间下降，代理结果可回放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阶段二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3-6 个月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文书中心、知识索引流水线、审批流、管理看板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文书复用率和知识命中率提升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阶段三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6-12 个月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多租户治理、队列化运行时、定制代理、套餐化能力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1F2937"/>
                <w:sz w:val="20"/>
              </w:rPr>
              <w:t>形成可复制销售与续约模型</w:t>
            </w:r>
          </w:p>
        </w:tc>
      </w:tr>
    </w:tbl>
    <w:p/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从实施节奏看，最重要的不是先把模型做得多复杂，而是先把“状态、任务、证据、版本、审批、日志”这六个基础对象打牢。只要这六类对象设计稳定，后续无论是升级模型、替换知识引擎还是拆分服务，系统都能低风险演进。</w:t>
      </w:r>
    </w:p>
    <w:p>
      <w:pPr>
        <w:spacing w:before="32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</w:rPr>
        <w:t>十、最终建议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战略方向：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把平台从“带 AI 的调解系统”升级为“调解机构工作台 SaaS”，用组织级工作流与知识沉淀形成壁垒。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产品重点：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优先做案件状态机、专业代理、模板中心、知识工厂和管理看板，而不是继续扩散式增加零散页面。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商业重点：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围绕机构年费、席位费、AI 使用包和实施服务形成持续收入，先证明内部提效，再做更强的行业复制。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/>
          <w:i w:val="0"/>
          <w:color w:val="1F4D78"/>
          <w:sz w:val="22"/>
        </w:rPr>
        <w:t>执行原则：</w:t>
      </w:r>
      <w:r>
        <w:rPr>
          <w:rFonts w:ascii="Hiragino Sans GB" w:hAnsi="Hiragino Sans GB" w:eastAsia="Hiragino Sans GB" w:cs="Hiragino Sans GB"/>
          <w:b w:val="0"/>
          <w:i w:val="0"/>
          <w:color w:val="1F2937"/>
          <w:sz w:val="22"/>
        </w:rPr>
        <w:t>所有 AI 结论都要可引用、可编辑、可审批、可留痕。调解员负责判断，系统负责准备、执行和沉淀。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Hiragino Sans GB" w:hAnsi="Hiragino Sans GB" w:eastAsia="Hiragino Sans GB" w:cs="Hiragino Sans GB"/>
        <w:b w:val="0"/>
        <w:i w:val="0"/>
        <w:color w:val="6B7280"/>
        <w:sz w:val="18"/>
      </w:rPr>
      <w:t xml:space="preserve">调解平台内部战略建议 | 第 </w:t>
    </w:r>
    <w:r>
      <w:fldChar w:fldCharType="begin"/>
      <w:instrText xml:space="preserve">PAGE</w:instrText>
      <w:fldChar w:fldCharType="end"/>
    </w:r>
    <w:r>
      <w:rPr>
        <w:rFonts w:ascii="Hiragino Sans GB" w:hAnsi="Hiragino Sans GB" w:eastAsia="Hiragino Sans GB" w:cs="Hiragino Sans GB"/>
        <w:b w:val="0"/>
        <w:i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