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Heiti SC" w:hAnsi="Heiti SC" w:eastAsia="Heiti SC" w:cs="Heiti SC"/>
          <w:b/>
          <w:color w:val="000000"/>
          <w:sz w:val="32"/>
        </w:rPr>
        <w:t>说明书摘要</w:t>
      </w:r>
    </w:p>
    <w:p>
      <w:pPr>
        <w:spacing w:before="0" w:after="120" w:line="300" w:lineRule="auto"/>
        <w:ind w:firstLine="480"/>
      </w:pPr>
      <w:r>
        <w:rPr>
          <w:rFonts w:ascii="Songti SC" w:hAnsi="Songti SC" w:eastAsia="Songti SC" w:cs="Songti SC"/>
          <w:b w:val="0"/>
          <w:color w:val="000000"/>
          <w:sz w:val="24"/>
        </w:rPr>
        <w:t>本发明公开了一种基于阶段状态机与技能编排的AI辅助商事调解方法及系统。该方法建立带有来源、置信度和待确认标签的案件状态数据结构，通过阶段状态机对接案准备、开启过程、倾听理解、方案验证和促成解决五个阶段进行转移条件校验，并由技能编排调度器调用二十五个AI技能节点。系统在技能分析前执行本地脱敏和脱敏完整性校验，仅发送脱敏材料，分析后反脱敏还原并生成质量评估结果，从而实现调解辅助流程的标准化、隐私保护、可审计和可复核。</w:t>
      </w:r>
    </w:p>
    <w:p>
      <w:r>
        <w:br w:type="page"/>
      </w:r>
    </w:p>
    <w:p>
      <w:pPr>
        <w:spacing w:after="240"/>
        <w:jc w:val="center"/>
      </w:pPr>
      <w:r>
        <w:rPr>
          <w:rFonts w:ascii="Heiti SC" w:hAnsi="Heiti SC" w:eastAsia="Heiti SC" w:cs="Heiti SC"/>
          <w:b/>
          <w:color w:val="000000"/>
          <w:sz w:val="32"/>
        </w:rPr>
        <w:t>权利要求书</w:t>
      </w:r>
    </w:p>
    <w:p>
      <w:pPr>
        <w:spacing w:after="160" w:line="300" w:lineRule="auto"/>
        <w:ind w:firstLine="0" w:left="0"/>
      </w:pPr>
      <w:r>
        <w:rPr>
          <w:rFonts w:ascii="Songti SC" w:hAnsi="Songti SC" w:eastAsia="Songti SC" w:cs="Songti SC"/>
          <w:b w:val="0"/>
          <w:color w:val="000000"/>
          <w:sz w:val="24"/>
        </w:rPr>
        <w:t>1. 一种基于阶段状态机与技能编排的AI辅助商事调解方法，其特征在于，包括：接收争议案件材料、当事人陈述和调解过程记录，建立案件状态数据结构；通过阶段状态机对接案准备阶段、开启过程阶段、倾听理解阶段、方案验证阶段和促成解决阶段进行阶段转移条件校验；通过技能编排调度器调用与当前阶段绑定的AI技能节点，生成结构化阶段输出；将所述结构化阶段输出写入所述案件状态数据结构并作为后续阶段输入；接收调解员的阶段转移请求，依据阶段结束标准、风险阈值和人工确认项判断是否允许阶段转移或回退；其中，自然语言生成结果经中立性约束引擎校验后输出。</w:t>
      </w:r>
    </w:p>
    <w:p>
      <w:pPr>
        <w:spacing w:after="160" w:line="300" w:lineRule="auto"/>
        <w:ind w:firstLine="0" w:left="0"/>
      </w:pPr>
      <w:r>
        <w:rPr>
          <w:rFonts w:ascii="Songti SC" w:hAnsi="Songti SC" w:eastAsia="Songti SC" w:cs="Songti SC"/>
          <w:b w:val="0"/>
          <w:color w:val="000000"/>
          <w:sz w:val="24"/>
        </w:rPr>
        <w:t>2. 根据权利要求1所述的方法，其特征在于，所述案件状态数据结构包括事实字段、立场字段、利益字段、证据字段、争点字段、程序字段、方案字段、风险字段和协议字段，且至少部分字段关联来源标签、置信度标签和待确认标签。</w:t>
      </w:r>
    </w:p>
    <w:p>
      <w:pPr>
        <w:spacing w:after="160" w:line="300" w:lineRule="auto"/>
        <w:ind w:firstLine="0" w:left="0"/>
      </w:pPr>
      <w:r>
        <w:rPr>
          <w:rFonts w:ascii="Songti SC" w:hAnsi="Songti SC" w:eastAsia="Songti SC" w:cs="Songti SC"/>
          <w:b w:val="0"/>
          <w:color w:val="000000"/>
          <w:sz w:val="24"/>
        </w:rPr>
        <w:t>3. 根据权利要求1所述的方法，其特征在于，所述阶段转移条件校验包括：读取当前阶段对应的阶段结束标准、风险状态和待确认标签；当阶段结束标准未满足、风险状态超过阈值或存在未完成的必填确认项时，输出提示信息、建议操作和风险警示；当调解员确认后，记录转移方向、转移时间和人工确认标识。</w:t>
      </w:r>
    </w:p>
    <w:p>
      <w:pPr>
        <w:spacing w:after="160" w:line="300" w:lineRule="auto"/>
        <w:ind w:firstLine="0" w:left="0"/>
      </w:pPr>
      <w:r>
        <w:rPr>
          <w:rFonts w:ascii="Songti SC" w:hAnsi="Songti SC" w:eastAsia="Songti SC" w:cs="Songti SC"/>
          <w:b w:val="0"/>
          <w:color w:val="000000"/>
          <w:sz w:val="24"/>
        </w:rPr>
        <w:t>4. 根据权利要求1所述的方法，其特征在于，所述五个阶段分别配置五个AI技能节点，共形成二十五个AI技能节点；所述技能编排调度器保存各AI技能节点的技能标识、所属阶段、输入规范、输出规范、触发条件和依赖关系。</w:t>
      </w:r>
    </w:p>
    <w:p>
      <w:pPr>
        <w:spacing w:after="160" w:line="300" w:lineRule="auto"/>
        <w:ind w:firstLine="0" w:left="0"/>
      </w:pPr>
      <w:r>
        <w:rPr>
          <w:rFonts w:ascii="Songti SC" w:hAnsi="Songti SC" w:eastAsia="Songti SC" w:cs="Songti SC"/>
          <w:b w:val="0"/>
          <w:color w:val="000000"/>
          <w:sz w:val="24"/>
        </w:rPr>
        <w:t>5. 根据权利要求1所述的方法，其特征在于，所述中立性约束引擎对自然语言生成结果执行材料依据校验、非裁判化表达校验、非替代决策校验、非偏向性语言校验和信息不足标注。</w:t>
      </w:r>
    </w:p>
    <w:p>
      <w:pPr>
        <w:spacing w:after="160" w:line="300" w:lineRule="auto"/>
        <w:ind w:firstLine="0" w:left="0"/>
      </w:pPr>
      <w:r>
        <w:rPr>
          <w:rFonts w:ascii="Songti SC" w:hAnsi="Songti SC" w:eastAsia="Songti SC" w:cs="Songti SC"/>
          <w:b w:val="0"/>
          <w:color w:val="000000"/>
          <w:sz w:val="24"/>
        </w:rPr>
        <w:t>6. 根据权利要求1所述的方法，其特征在于，在倾听理解阶段中，对当事人表达执行事实、立场和利益的三层语义分解，并输出表层要求、深层利益、担忧点和可协商空间；所述输出与来源标签或置信度标签关联。</w:t>
      </w:r>
    </w:p>
    <w:p>
      <w:pPr>
        <w:spacing w:after="160" w:line="300" w:lineRule="auto"/>
        <w:ind w:firstLine="0" w:left="0"/>
      </w:pPr>
      <w:r>
        <w:rPr>
          <w:rFonts w:ascii="Songti SC" w:hAnsi="Songti SC" w:eastAsia="Songti SC" w:cs="Songti SC"/>
          <w:b w:val="0"/>
          <w:color w:val="000000"/>
          <w:sz w:val="24"/>
        </w:rPr>
        <w:t>7. 根据权利要求1所述的方法，其特征在于，在方案验证阶段中，将当事人的固定立场转换为可交换条件、可组合条款和备选履行路径，生成候选方案集合，并基于成本、时间、风险、可执行性、关系影响和公平性中的至少两个维度生成方案评估结果。</w:t>
      </w:r>
    </w:p>
    <w:p>
      <w:pPr>
        <w:spacing w:after="160" w:line="300" w:lineRule="auto"/>
        <w:ind w:firstLine="0" w:left="0"/>
      </w:pPr>
      <w:r>
        <w:rPr>
          <w:rFonts w:ascii="Songti SC" w:hAnsi="Songti SC" w:eastAsia="Songti SC" w:cs="Songti SC"/>
          <w:b w:val="0"/>
          <w:color w:val="000000"/>
          <w:sz w:val="24"/>
        </w:rPr>
        <w:t>8. 根据权利要求1所述的方法，其特征在于，在促成解决阶段中，将经确认的共识转换为结构化条款，并对协议草案执行主体一致性、金额一致性、期限、条件触发、例外事项、条款冲突和不可执行风险中的至少一种校验。</w:t>
      </w:r>
    </w:p>
    <w:p>
      <w:pPr>
        <w:spacing w:after="160" w:line="300" w:lineRule="auto"/>
        <w:ind w:firstLine="0" w:left="0"/>
      </w:pPr>
      <w:r>
        <w:rPr>
          <w:rFonts w:ascii="Songti SC" w:hAnsi="Songti SC" w:eastAsia="Songti SC" w:cs="Songti SC"/>
          <w:b w:val="0"/>
          <w:color w:val="000000"/>
          <w:sz w:val="24"/>
        </w:rPr>
        <w:t>9. 根据权利要求1所述的方法，其特征在于，在调用AI技能节点前执行隐私保护分析闭环，包括：对案件材料执行本地脱敏，生成脱敏材料、令牌映射和追踪标识；对脱敏材料执行脱敏完整性校验，若存在未脱敏敏感信息则阻断出域分析；向云端AI技能节点发送脱敏材料；接收云端分析结果后基于令牌映射执行反脱敏还原；将还原后的分析结果写入案件分析缓存。</w:t>
      </w:r>
    </w:p>
    <w:p>
      <w:pPr>
        <w:spacing w:after="160" w:line="300" w:lineRule="auto"/>
        <w:ind w:firstLine="0" w:left="0"/>
      </w:pPr>
      <w:r>
        <w:rPr>
          <w:rFonts w:ascii="Songti SC" w:hAnsi="Songti SC" w:eastAsia="Songti SC" w:cs="Songti SC"/>
          <w:b w:val="0"/>
          <w:color w:val="000000"/>
          <w:sz w:val="24"/>
        </w:rPr>
        <w:t>10. 根据权利要求9所述的方法，其特征在于，所述令牌映射经加密后持久化并设置有效期；所述追踪标识用于关联脱敏、云端分析、反脱敏还原、技能执行记录和评估记录。</w:t>
      </w:r>
    </w:p>
    <w:p>
      <w:pPr>
        <w:spacing w:after="160" w:line="300" w:lineRule="auto"/>
        <w:ind w:firstLine="0" w:left="0"/>
      </w:pPr>
      <w:r>
        <w:rPr>
          <w:rFonts w:ascii="Songti SC" w:hAnsi="Songti SC" w:eastAsia="Songti SC" w:cs="Songti SC"/>
          <w:b w:val="0"/>
          <w:color w:val="000000"/>
          <w:sz w:val="24"/>
        </w:rPr>
        <w:t>11. 根据权利要求9所述的方法，其特征在于，对还原后的AI技能输出生成质量评估结果，所述质量评估结果包括归一化评分、总分、缺失要点、幻觉断言、评估置信度和是否需人工复核中的至少一种；当评分低于阈值或检测到幻觉断言时，将对应技能执行记录标记为待复核。</w:t>
      </w:r>
    </w:p>
    <w:p>
      <w:pPr>
        <w:spacing w:after="160" w:line="300" w:lineRule="auto"/>
        <w:ind w:firstLine="0" w:left="0"/>
      </w:pPr>
      <w:r>
        <w:rPr>
          <w:rFonts w:ascii="Songti SC" w:hAnsi="Songti SC" w:eastAsia="Songti SC" w:cs="Songti SC"/>
          <w:b w:val="0"/>
          <w:color w:val="000000"/>
          <w:sz w:val="24"/>
        </w:rPr>
        <w:t>12. 一种基于阶段状态机与技能编排的AI辅助商事调解系统，其特征在于，包括：输入模块，用于接收案件材料、当事人陈述和调解过程记录；案件状态管理模块，用于维护案件状态数据结构；阶段状态机模块，用于执行阶段转移条件校验；技能编排调度模块，用于调用与阶段绑定的AI技能节点；中立性约束模块，用于校验自然语言生成结果；脱敏与反脱敏模块，用于生成脱敏材料和令牌映射并还原AI技能输出；评估结果生成模块，用于生成AI技能输出的质量评估结果；输出模块，用于输出调解辅助文档。</w:t>
      </w:r>
    </w:p>
    <w:p>
      <w:pPr>
        <w:spacing w:after="160" w:line="300" w:lineRule="auto"/>
        <w:ind w:firstLine="0" w:left="0"/>
      </w:pPr>
      <w:r>
        <w:rPr>
          <w:rFonts w:ascii="Songti SC" w:hAnsi="Songti SC" w:eastAsia="Songti SC" w:cs="Songti SC"/>
          <w:b w:val="0"/>
          <w:color w:val="000000"/>
          <w:sz w:val="24"/>
        </w:rPr>
        <w:t>13. 根据权利要求12所述的系统，其特征在于，还包括脱敏完整性校验模块，用于在脱敏材料出域前扫描未脱敏敏感信息；和/或协议生成校对模块，用于生成结构化条款、协议校对结果和履行计划。</w:t>
      </w:r>
    </w:p>
    <w:p>
      <w:pPr>
        <w:spacing w:after="160" w:line="300" w:lineRule="auto"/>
        <w:ind w:firstLine="0" w:left="0"/>
      </w:pPr>
      <w:r>
        <w:rPr>
          <w:rFonts w:ascii="Songti SC" w:hAnsi="Songti SC" w:eastAsia="Songti SC" w:cs="Songti SC"/>
          <w:b w:val="0"/>
          <w:color w:val="000000"/>
          <w:sz w:val="24"/>
        </w:rPr>
        <w:t>14. 一种电子设备，包括处理器和存储器，所述存储器中存储有计算机程序，所述计算机程序被所述处理器执行时实现权利要求1至11任一项所述的方法。</w:t>
      </w:r>
    </w:p>
    <w:p>
      <w:pPr>
        <w:spacing w:after="160" w:line="300" w:lineRule="auto"/>
        <w:ind w:firstLine="0" w:left="0"/>
      </w:pPr>
      <w:r>
        <w:rPr>
          <w:rFonts w:ascii="Songti SC" w:hAnsi="Songti SC" w:eastAsia="Songti SC" w:cs="Songti SC"/>
          <w:b w:val="0"/>
          <w:color w:val="000000"/>
          <w:sz w:val="24"/>
        </w:rPr>
        <w:t>15. 一种计算机可读存储介质，其上存储有计算机程序，所述计算机程序被处理器执行时实现权利要求1至11任一项所述的方法。</w:t>
      </w:r>
    </w:p>
    <w:p>
      <w:r>
        <w:br w:type="page"/>
      </w:r>
    </w:p>
    <w:p>
      <w:pPr>
        <w:spacing w:after="240"/>
        <w:jc w:val="center"/>
      </w:pPr>
      <w:r>
        <w:rPr>
          <w:rFonts w:ascii="Heiti SC" w:hAnsi="Heiti SC" w:eastAsia="Heiti SC" w:cs="Heiti SC"/>
          <w:b/>
          <w:color w:val="000000"/>
          <w:sz w:val="32"/>
        </w:rPr>
        <w:t>说明书</w:t>
      </w:r>
    </w:p>
    <w:p>
      <w:pPr>
        <w:spacing w:before="240" w:after="120"/>
        <w:ind w:firstLine="0"/>
      </w:pPr>
      <w:r>
        <w:rPr>
          <w:rFonts w:ascii="Heiti SC" w:hAnsi="Heiti SC" w:eastAsia="Heiti SC" w:cs="Heiti SC"/>
          <w:b/>
          <w:color w:val="000000"/>
          <w:sz w:val="28"/>
        </w:rPr>
        <w:t>发明名称</w:t>
      </w:r>
    </w:p>
    <w:p>
      <w:pPr>
        <w:spacing w:before="0" w:after="120" w:line="300" w:lineRule="auto"/>
        <w:ind w:firstLine="480"/>
      </w:pPr>
      <w:r>
        <w:rPr>
          <w:rFonts w:ascii="Songti SC" w:hAnsi="Songti SC" w:eastAsia="Songti SC" w:cs="Songti SC"/>
          <w:b w:val="0"/>
          <w:color w:val="000000"/>
          <w:sz w:val="24"/>
        </w:rPr>
        <w:t>基于阶段状态机与技能编排的AI辅助商事调解方法及系统</w:t>
      </w:r>
    </w:p>
    <w:p>
      <w:pPr>
        <w:spacing w:before="240" w:after="120"/>
        <w:ind w:firstLine="0"/>
      </w:pPr>
      <w:r>
        <w:rPr>
          <w:rFonts w:ascii="Heiti SC" w:hAnsi="Heiti SC" w:eastAsia="Heiti SC" w:cs="Heiti SC"/>
          <w:b/>
          <w:color w:val="000000"/>
          <w:sz w:val="28"/>
        </w:rPr>
        <w:t>技术领域</w:t>
      </w:r>
    </w:p>
    <w:p>
      <w:pPr>
        <w:spacing w:before="0" w:after="120" w:line="300" w:lineRule="auto"/>
        <w:ind w:firstLine="480"/>
      </w:pPr>
      <w:r>
        <w:rPr>
          <w:rFonts w:ascii="Songti SC" w:hAnsi="Songti SC" w:eastAsia="Songti SC" w:cs="Songti SC"/>
          <w:b w:val="0"/>
          <w:color w:val="000000"/>
          <w:sz w:val="24"/>
        </w:rPr>
        <w:t>本发明涉及人工智能辅助争议解决和自然语言信息处理技术领域，具体涉及一种基于阶段状态机与技能编排的AI辅助商事调解方法及系统。</w:t>
      </w:r>
    </w:p>
    <w:p>
      <w:pPr>
        <w:spacing w:before="240" w:after="120"/>
        <w:ind w:firstLine="0"/>
      </w:pPr>
      <w:r>
        <w:rPr>
          <w:rFonts w:ascii="Heiti SC" w:hAnsi="Heiti SC" w:eastAsia="Heiti SC" w:cs="Heiti SC"/>
          <w:b/>
          <w:color w:val="000000"/>
          <w:sz w:val="28"/>
        </w:rPr>
        <w:t>背景技术</w:t>
      </w:r>
    </w:p>
    <w:p>
      <w:pPr>
        <w:spacing w:before="0" w:after="120" w:line="300" w:lineRule="auto"/>
        <w:ind w:firstLine="480"/>
      </w:pPr>
      <w:r>
        <w:rPr>
          <w:rFonts w:ascii="Songti SC" w:hAnsi="Songti SC" w:eastAsia="Songti SC" w:cs="Songti SC"/>
          <w:b w:val="0"/>
          <w:color w:val="000000"/>
          <w:sz w:val="24"/>
        </w:rPr>
        <w:t>商事调解在合同争议、交易纠纷、平台纠纷和企业间纠纷处理中具有重要作用。传统调解高度依赖调解员经验，容易出现流程边界不清、信息记录离散、争点识别不稳定、方案比较缺少统一维度以及协议条款难以落地等问题。</w:t>
      </w:r>
    </w:p>
    <w:p>
      <w:pPr>
        <w:spacing w:before="0" w:after="120" w:line="300" w:lineRule="auto"/>
        <w:ind w:firstLine="480"/>
      </w:pPr>
      <w:r>
        <w:rPr>
          <w:rFonts w:ascii="Songti SC" w:hAnsi="Songti SC" w:eastAsia="Songti SC" w:cs="Songti SC"/>
          <w:b w:val="0"/>
          <w:color w:val="000000"/>
          <w:sz w:val="24"/>
        </w:rPr>
        <w:t>现有AI调解辅助技术多集中在情绪识别、话术推荐、协议生成或案例检索等单点功能，尚未充分解决阶段完成条件检测、跨阶段技能编排、人工确认记录和生成内容中立性控制的问题。</w:t>
      </w:r>
    </w:p>
    <w:p>
      <w:pPr>
        <w:spacing w:before="0" w:after="120" w:line="300" w:lineRule="auto"/>
        <w:ind w:firstLine="480"/>
      </w:pPr>
      <w:r>
        <w:rPr>
          <w:rFonts w:ascii="Songti SC" w:hAnsi="Songti SC" w:eastAsia="Songti SC" w:cs="Songti SC"/>
          <w:b w:val="0"/>
          <w:color w:val="000000"/>
          <w:sz w:val="24"/>
        </w:rPr>
        <w:t>同时，调解案件材料通常包含姓名、电话、地址、证件号码、账号、合同相对方身份等敏感信息。现有云端AI分析方案通常缺少本地脱敏、脱敏完整性校验、加密映射存储、反脱敏还原及输出质量评估之间的闭环机制，难以同时兼顾隐私保护和分析结果可用性。</w:t>
      </w:r>
    </w:p>
    <w:p>
      <w:pPr>
        <w:spacing w:before="240" w:after="120"/>
        <w:ind w:firstLine="0"/>
      </w:pPr>
      <w:r>
        <w:rPr>
          <w:rFonts w:ascii="Heiti SC" w:hAnsi="Heiti SC" w:eastAsia="Heiti SC" w:cs="Heiti SC"/>
          <w:b/>
          <w:color w:val="000000"/>
          <w:sz w:val="28"/>
        </w:rPr>
        <w:t>发明内容</w:t>
      </w:r>
    </w:p>
    <w:p>
      <w:pPr>
        <w:spacing w:before="160" w:after="120"/>
        <w:ind w:firstLine="0"/>
      </w:pPr>
      <w:r>
        <w:rPr>
          <w:rFonts w:ascii="Heiti SC" w:hAnsi="Heiti SC" w:eastAsia="Heiti SC" w:cs="Heiti SC"/>
          <w:b/>
          <w:color w:val="000000"/>
          <w:sz w:val="24"/>
        </w:rPr>
        <w:t>一、要解决的技术问题</w:t>
      </w:r>
    </w:p>
    <w:p>
      <w:pPr>
        <w:spacing w:before="0" w:after="120" w:line="300" w:lineRule="auto"/>
        <w:ind w:firstLine="480"/>
      </w:pPr>
      <w:r>
        <w:rPr>
          <w:rFonts w:ascii="Songti SC" w:hAnsi="Songti SC" w:eastAsia="Songti SC" w:cs="Songti SC"/>
          <w:b w:val="0"/>
          <w:color w:val="000000"/>
          <w:sz w:val="24"/>
        </w:rPr>
        <w:t>本发明旨在解决现有AI辅助调解方案流程控制弱、技能调用离散、阶段输出不可复用、隐私保护与云端智能分析难以兼顾以及输出结果缺少质量复核机制的问题。</w:t>
      </w:r>
    </w:p>
    <w:p>
      <w:pPr>
        <w:spacing w:before="0" w:after="120" w:line="300" w:lineRule="auto"/>
        <w:ind w:firstLine="480"/>
      </w:pPr>
      <w:r>
        <w:rPr>
          <w:rFonts w:ascii="Songti SC" w:hAnsi="Songti SC" w:eastAsia="Songti SC" w:cs="Songti SC"/>
          <w:b w:val="0"/>
          <w:color w:val="000000"/>
          <w:sz w:val="24"/>
        </w:rPr>
        <w:t>本发明进一步解决AI生成调解建议可能出现事实依据不足、偏向一方、替代调解员决策或协议条款不可执行的技术问题，使AI辅助调解在可控边界内为调解员提供结构化支持。</w:t>
      </w:r>
    </w:p>
    <w:p>
      <w:pPr>
        <w:spacing w:before="160" w:after="120"/>
        <w:ind w:firstLine="0"/>
      </w:pPr>
      <w:r>
        <w:rPr>
          <w:rFonts w:ascii="Heiti SC" w:hAnsi="Heiti SC" w:eastAsia="Heiti SC" w:cs="Heiti SC"/>
          <w:b/>
          <w:color w:val="000000"/>
          <w:sz w:val="24"/>
        </w:rPr>
        <w:t>二、技术方案</w:t>
      </w:r>
    </w:p>
    <w:p>
      <w:pPr>
        <w:spacing w:before="0" w:after="120" w:line="300" w:lineRule="auto"/>
        <w:ind w:firstLine="480"/>
      </w:pPr>
      <w:r>
        <w:rPr>
          <w:rFonts w:ascii="Songti SC" w:hAnsi="Songti SC" w:eastAsia="Songti SC" w:cs="Songti SC"/>
          <w:b w:val="0"/>
          <w:color w:val="000000"/>
          <w:sz w:val="24"/>
        </w:rPr>
        <w:t>为解决上述问题，本发明提供一种基于阶段状态机与技能编排的AI辅助商事调解方法。该方法接收案件材料、当事人陈述和调解过程记录，建立案件状态数据结构；通过阶段状态机管理接案准备、开启过程、倾听理解、方案验证和促成解决五个阶段；通过技能编排调度器根据当前阶段、输入规范、输出规范、触发条件和依赖关系调用AI技能节点；将各阶段输出回写案件状态数据结构，形成可持续更新的案件状态。</w:t>
      </w:r>
    </w:p>
    <w:p>
      <w:pPr>
        <w:spacing w:before="0" w:after="120" w:line="300" w:lineRule="auto"/>
        <w:ind w:firstLine="480"/>
      </w:pPr>
      <w:r>
        <w:rPr>
          <w:rFonts w:ascii="Songti SC" w:hAnsi="Songti SC" w:eastAsia="Songti SC" w:cs="Songti SC"/>
          <w:b w:val="0"/>
          <w:color w:val="000000"/>
          <w:sz w:val="24"/>
        </w:rPr>
        <w:t>阶段状态机并非仅用于显示流程进度，而是用于执行阶段转移条件校验。系统在接收到调解员阶段转移请求时，读取阶段结束标准、风险状态、待确认标签和人工确认项，判断是否允许进入下一阶段或回退至前一阶段；若条件未满足，则输出提示信息、建议操作和风险警示，并将人工确认标识写入过程记录。</w:t>
      </w:r>
    </w:p>
    <w:p>
      <w:pPr>
        <w:spacing w:before="0" w:after="120" w:line="300" w:lineRule="auto"/>
        <w:ind w:firstLine="480"/>
      </w:pPr>
      <w:r>
        <w:rPr>
          <w:rFonts w:ascii="Songti SC" w:hAnsi="Songti SC" w:eastAsia="Songti SC" w:cs="Songti SC"/>
          <w:b w:val="0"/>
          <w:color w:val="000000"/>
          <w:sz w:val="24"/>
        </w:rPr>
        <w:t>技能编排调度器将五个阶段分别配置五个AI技能节点，形成二十五个可组合的技能节点集合。每一技能节点配置技能标识、所属阶段、输入规范、输出规范、触发条件和依赖关系，使倾听理解、争点归纳、利益识别、方案生成、方案评估、协议校对等任务在统一状态数据上协同执行。</w:t>
      </w:r>
    </w:p>
    <w:p>
      <w:pPr>
        <w:spacing w:before="0" w:after="120" w:line="300" w:lineRule="auto"/>
        <w:ind w:firstLine="480"/>
      </w:pPr>
      <w:r>
        <w:rPr>
          <w:rFonts w:ascii="Songti SC" w:hAnsi="Songti SC" w:eastAsia="Songti SC" w:cs="Songti SC"/>
          <w:b w:val="0"/>
          <w:color w:val="000000"/>
          <w:sz w:val="24"/>
        </w:rPr>
        <w:t>为保证调解中立性，本发明设置中立性约束引擎，对AI自然语言生成结果执行材料依据校验、非裁判化表达校验、非替代决策校验、非偏向性语言校验和信息不足标注，阻止将未经确认的事实、法律判断或一方立场包装为确定结论。</w:t>
      </w:r>
    </w:p>
    <w:p>
      <w:pPr>
        <w:spacing w:before="0" w:after="120" w:line="300" w:lineRule="auto"/>
        <w:ind w:firstLine="480"/>
      </w:pPr>
      <w:r>
        <w:rPr>
          <w:rFonts w:ascii="Songti SC" w:hAnsi="Songti SC" w:eastAsia="Songti SC" w:cs="Songti SC"/>
          <w:b w:val="0"/>
          <w:color w:val="000000"/>
          <w:sz w:val="24"/>
        </w:rPr>
        <w:t>作为隐私保护方面的创新，本发明在调用AI技能节点前执行隐私保护分析闭环：在本地对案件材料执行脱敏，生成脱敏材料、令牌映射和追踪标识；对脱敏材料执行完整性校验，在发现未脱敏敏感信息时阻断出域分析；仅将脱敏材料提交至云端AI技能节点；接收分析结果后基于令牌映射执行反脱敏还原；再对还原后的分析结果生成质量评估结果，并写入案件分析缓存。令牌映射经加密持久化并设置有效期，追踪标识用于关联脱敏、技能执行、反脱敏和评估记录。</w:t>
      </w:r>
    </w:p>
    <w:p>
      <w:pPr>
        <w:spacing w:before="0" w:after="120" w:line="300" w:lineRule="auto"/>
        <w:ind w:firstLine="480"/>
      </w:pPr>
      <w:r>
        <w:rPr>
          <w:rFonts w:ascii="Songti SC" w:hAnsi="Songti SC" w:eastAsia="Songti SC" w:cs="Songti SC"/>
          <w:b w:val="0"/>
          <w:color w:val="000000"/>
          <w:sz w:val="24"/>
        </w:rPr>
        <w:t>本发明还提供一种系统，包括输入模块、案件状态管理模块、阶段状态机模块、技能编排调度模块、中立性约束模块、脱敏与反脱敏模块、评估结果生成模块和输出模块。上述模块可以部署在本地服务器、私有云、混合云或终端设备中，并通过权限控制和审计日志实现过程留痕。</w:t>
      </w:r>
    </w:p>
    <w:p>
      <w:pPr>
        <w:spacing w:before="160" w:after="120"/>
        <w:ind w:firstLine="0"/>
      </w:pPr>
      <w:r>
        <w:rPr>
          <w:rFonts w:ascii="Heiti SC" w:hAnsi="Heiti SC" w:eastAsia="Heiti SC" w:cs="Heiti SC"/>
          <w:b/>
          <w:color w:val="000000"/>
          <w:sz w:val="24"/>
        </w:rPr>
        <w:t>三、有益效果</w:t>
      </w:r>
    </w:p>
    <w:p>
      <w:pPr>
        <w:spacing w:before="0" w:after="120" w:line="300" w:lineRule="auto"/>
        <w:ind w:firstLine="480"/>
      </w:pPr>
      <w:r>
        <w:rPr>
          <w:rFonts w:ascii="Songti SC" w:hAnsi="Songti SC" w:eastAsia="Songti SC" w:cs="Songti SC"/>
          <w:b w:val="0"/>
          <w:color w:val="000000"/>
          <w:sz w:val="24"/>
        </w:rPr>
        <w:t>与现有技术相比，本发明至少具有以下有益效果：第一，通过阶段状态机和阶段转移条件校验，将商事调解从经验驱动的松散流程转化为具备状态约束、风险阈值和人工确认记录的可审计流程。</w:t>
      </w:r>
    </w:p>
    <w:p>
      <w:pPr>
        <w:spacing w:before="0" w:after="120" w:line="300" w:lineRule="auto"/>
        <w:ind w:firstLine="480"/>
      </w:pPr>
      <w:r>
        <w:rPr>
          <w:rFonts w:ascii="Songti SC" w:hAnsi="Songti SC" w:eastAsia="Songti SC" w:cs="Songti SC"/>
          <w:b w:val="0"/>
          <w:color w:val="000000"/>
          <w:sz w:val="24"/>
        </w:rPr>
        <w:t>第二，通过技能编排调度器和案件状态数据结构，使多个AI技能节点共享统一的事实、立场、利益、证据、争点、方案和协议字段，减少重复输入和上下文丢失，提高跨阶段分析的一致性。</w:t>
      </w:r>
    </w:p>
    <w:p>
      <w:pPr>
        <w:spacing w:before="0" w:after="120" w:line="300" w:lineRule="auto"/>
        <w:ind w:firstLine="480"/>
      </w:pPr>
      <w:r>
        <w:rPr>
          <w:rFonts w:ascii="Songti SC" w:hAnsi="Songti SC" w:eastAsia="Songti SC" w:cs="Songti SC"/>
          <w:b w:val="0"/>
          <w:color w:val="000000"/>
          <w:sz w:val="24"/>
        </w:rPr>
        <w:t>第三，通过中立性约束引擎，使AI输出保持材料依据、提示性和辅助性，降低偏向性语言、替代裁判判断和未经确认事实输出的风险。</w:t>
      </w:r>
    </w:p>
    <w:p>
      <w:pPr>
        <w:spacing w:before="0" w:after="120" w:line="300" w:lineRule="auto"/>
        <w:ind w:firstLine="480"/>
      </w:pPr>
      <w:r>
        <w:rPr>
          <w:rFonts w:ascii="Songti SC" w:hAnsi="Songti SC" w:eastAsia="Songti SC" w:cs="Songti SC"/>
          <w:b w:val="0"/>
          <w:color w:val="000000"/>
          <w:sz w:val="24"/>
        </w:rPr>
        <w:t>第四，通过本地脱敏、完整性校验、云端脱敏分析、反脱敏还原、加密映射和质量评估闭环，在保护敏感信息的同时保持AI分析结果可读、可复核和可追踪。</w:t>
      </w:r>
    </w:p>
    <w:p>
      <w:pPr>
        <w:spacing w:before="0" w:after="120" w:line="300" w:lineRule="auto"/>
        <w:ind w:firstLine="480"/>
      </w:pPr>
      <w:r>
        <w:rPr>
          <w:rFonts w:ascii="Songti SC" w:hAnsi="Songti SC" w:eastAsia="Songti SC" w:cs="Songti SC"/>
          <w:b w:val="0"/>
          <w:color w:val="000000"/>
          <w:sz w:val="24"/>
        </w:rPr>
        <w:t>第五，通过质量评估结果识别缺失要点、幻觉断言和低置信度输出，可将高风险技能执行记录标记为待复核，便于调解员进行人工把关。</w:t>
      </w:r>
    </w:p>
    <w:p>
      <w:pPr>
        <w:spacing w:before="240" w:after="120"/>
        <w:ind w:firstLine="0"/>
      </w:pPr>
      <w:r>
        <w:rPr>
          <w:rFonts w:ascii="Heiti SC" w:hAnsi="Heiti SC" w:eastAsia="Heiti SC" w:cs="Heiti SC"/>
          <w:b/>
          <w:color w:val="000000"/>
          <w:sz w:val="28"/>
        </w:rPr>
        <w:t>附图说明</w:t>
      </w:r>
    </w:p>
    <w:p>
      <w:pPr>
        <w:spacing w:before="0" w:after="120" w:line="300" w:lineRule="auto"/>
        <w:ind w:firstLine="480"/>
      </w:pPr>
      <w:r>
        <w:rPr>
          <w:rFonts w:ascii="Songti SC" w:hAnsi="Songti SC" w:eastAsia="Songti SC" w:cs="Songti SC"/>
          <w:b w:val="0"/>
          <w:color w:val="000000"/>
          <w:sz w:val="24"/>
        </w:rPr>
        <w:t>图1为本发明实施例提供的五阶段状态机及阶段转移条件校验流程示意图。</w:t>
      </w:r>
    </w:p>
    <w:p>
      <w:pPr>
        <w:spacing w:before="0" w:after="120" w:line="300" w:lineRule="auto"/>
        <w:ind w:firstLine="480"/>
      </w:pPr>
      <w:r>
        <w:rPr>
          <w:rFonts w:ascii="Songti SC" w:hAnsi="Songti SC" w:eastAsia="Songti SC" w:cs="Songti SC"/>
          <w:b w:val="0"/>
          <w:color w:val="000000"/>
          <w:sz w:val="24"/>
        </w:rPr>
        <w:t>图2为本发明实施例提供的案件状态数据结构示意图。</w:t>
      </w:r>
    </w:p>
    <w:p>
      <w:pPr>
        <w:spacing w:before="0" w:after="120" w:line="300" w:lineRule="auto"/>
        <w:ind w:firstLine="480"/>
      </w:pPr>
      <w:r>
        <w:rPr>
          <w:rFonts w:ascii="Songti SC" w:hAnsi="Songti SC" w:eastAsia="Songti SC" w:cs="Songti SC"/>
          <w:b w:val="0"/>
          <w:color w:val="000000"/>
          <w:sz w:val="24"/>
        </w:rPr>
        <w:t>图3为本发明实施例提供的AI技能编排调度示意图。</w:t>
      </w:r>
    </w:p>
    <w:p>
      <w:pPr>
        <w:spacing w:before="0" w:after="120" w:line="300" w:lineRule="auto"/>
        <w:ind w:firstLine="480"/>
      </w:pPr>
      <w:r>
        <w:rPr>
          <w:rFonts w:ascii="Songti SC" w:hAnsi="Songti SC" w:eastAsia="Songti SC" w:cs="Songti SC"/>
          <w:b w:val="0"/>
          <w:color w:val="000000"/>
          <w:sz w:val="24"/>
        </w:rPr>
        <w:t>图4为本发明实施例提供的脱敏、技能分析、反脱敏及质量评估闭环示意图。</w:t>
      </w:r>
    </w:p>
    <w:p>
      <w:pPr>
        <w:spacing w:before="0" w:after="120" w:line="300" w:lineRule="auto"/>
        <w:ind w:firstLine="480"/>
      </w:pPr>
      <w:r>
        <w:rPr>
          <w:rFonts w:ascii="Songti SC" w:hAnsi="Songti SC" w:eastAsia="Songti SC" w:cs="Songti SC"/>
          <w:b w:val="0"/>
          <w:color w:val="000000"/>
          <w:sz w:val="24"/>
        </w:rPr>
        <w:t>图5为本发明实施例提供的AI辅助商事调解系统结构示意图。</w:t>
      </w:r>
    </w:p>
    <w:p>
      <w:pPr>
        <w:spacing w:before="240" w:after="120"/>
        <w:ind w:firstLine="0"/>
      </w:pPr>
      <w:r>
        <w:rPr>
          <w:rFonts w:ascii="Heiti SC" w:hAnsi="Heiti SC" w:eastAsia="Heiti SC" w:cs="Heiti SC"/>
          <w:b/>
          <w:color w:val="000000"/>
          <w:sz w:val="28"/>
        </w:rPr>
        <w:t>具体实施方式</w:t>
      </w:r>
    </w:p>
    <w:p>
      <w:pPr>
        <w:spacing w:before="0" w:after="120" w:line="300" w:lineRule="auto"/>
        <w:ind w:firstLine="480"/>
      </w:pPr>
      <w:r>
        <w:rPr>
          <w:rFonts w:ascii="Songti SC" w:hAnsi="Songti SC" w:eastAsia="Songti SC" w:cs="Songti SC"/>
          <w:b w:val="0"/>
          <w:color w:val="000000"/>
          <w:sz w:val="24"/>
        </w:rPr>
        <w:t>以下结合实施例对本发明作进一步说明。应当理解，所述实施例仅用于说明本发明的技术方案，并不用于限定本发明的保护范围。</w:t>
      </w:r>
    </w:p>
    <w:p>
      <w:pPr>
        <w:spacing w:before="160" w:after="120"/>
        <w:ind w:firstLine="0"/>
      </w:pPr>
      <w:r>
        <w:rPr>
          <w:rFonts w:ascii="Heiti SC" w:hAnsi="Heiti SC" w:eastAsia="Heiti SC" w:cs="Heiti SC"/>
          <w:b/>
          <w:color w:val="000000"/>
          <w:sz w:val="24"/>
        </w:rPr>
        <w:t>实施例一：五阶段状态机调解方法</w:t>
      </w:r>
    </w:p>
    <w:p>
      <w:pPr>
        <w:spacing w:before="0" w:after="120" w:line="300" w:lineRule="auto"/>
        <w:ind w:firstLine="480"/>
      </w:pPr>
      <w:r>
        <w:rPr>
          <w:rFonts w:ascii="Songti SC" w:hAnsi="Songti SC" w:eastAsia="Songti SC" w:cs="Songti SC"/>
          <w:b w:val="0"/>
          <w:color w:val="000000"/>
          <w:sz w:val="24"/>
        </w:rPr>
        <w:t>在一个实施例中，系统接收合同、订单、往来函件、发票、付款凭证、当事人陈述文本和调解过程记录，生成案件状态数据结构。案件状态数据结构包括事实字段、立场字段、利益字段、证据字段、争点字段、程序字段、方案字段、风险字段和协议字段。对于由AI识别或归纳的内容，系统为其关联来源标签、置信度标签和待确认标签。</w:t>
      </w:r>
    </w:p>
    <w:p>
      <w:pPr>
        <w:spacing w:before="0" w:after="120" w:line="300" w:lineRule="auto"/>
        <w:ind w:firstLine="480"/>
      </w:pPr>
      <w:r>
        <w:rPr>
          <w:rFonts w:ascii="Songti SC" w:hAnsi="Songti SC" w:eastAsia="Songti SC" w:cs="Songti SC"/>
          <w:b w:val="0"/>
          <w:color w:val="000000"/>
          <w:sz w:val="24"/>
        </w:rPr>
        <w:t>系统将商事调解划分为接案准备、开启过程、倾听理解、方案验证和促成解决五个阶段。每个阶段设置阶段目标、阶段结束标准、必填确认项和风险阈值。例如，在接案准备阶段，需要完成案件材料归档、主体信息核验、基本争议类型识别和敏感信息初筛；在开启过程阶段，需要完成程序说明、调解规则确认和沟通边界提示；在倾听理解阶段，需要形成事实、立场和利益的结构化记录；在方案验证阶段，需要形成候选方案集合及评估结果；在促成解决阶段，需要形成结构化协议草案或未达成记录。</w:t>
      </w:r>
    </w:p>
    <w:p>
      <w:pPr>
        <w:spacing w:before="0" w:after="120" w:line="300" w:lineRule="auto"/>
        <w:ind w:firstLine="480"/>
      </w:pPr>
      <w:r>
        <w:rPr>
          <w:rFonts w:ascii="Songti SC" w:hAnsi="Songti SC" w:eastAsia="Songti SC" w:cs="Songti SC"/>
          <w:b w:val="0"/>
          <w:color w:val="000000"/>
          <w:sz w:val="24"/>
        </w:rPr>
        <w:t>当调解员发起阶段转移请求时，阶段状态机读取当前阶段结束标准、待确认标签、风险状态和人工确认项。若存在未确认事实、风险状态超过阈值或必填项缺失，系统阻止自动转移，并输出缺失事项、建议补充材料和风险警示。若条件满足或经调解员人工确认，系统记录转移方向、转移时间、确认人和确认标识，并进入下一阶段或回退到指定阶段。</w:t>
      </w:r>
    </w:p>
    <w:p>
      <w:pPr>
        <w:spacing w:before="160" w:after="120"/>
        <w:ind w:firstLine="0"/>
      </w:pPr>
      <w:r>
        <w:rPr>
          <w:rFonts w:ascii="Heiti SC" w:hAnsi="Heiti SC" w:eastAsia="Heiti SC" w:cs="Heiti SC"/>
          <w:b/>
          <w:color w:val="000000"/>
          <w:sz w:val="24"/>
        </w:rPr>
        <w:t>实施例二：技能编排调度</w:t>
      </w:r>
    </w:p>
    <w:p>
      <w:pPr>
        <w:spacing w:before="0" w:after="120" w:line="300" w:lineRule="auto"/>
        <w:ind w:firstLine="480"/>
      </w:pPr>
      <w:r>
        <w:rPr>
          <w:rFonts w:ascii="Songti SC" w:hAnsi="Songti SC" w:eastAsia="Songti SC" w:cs="Songti SC"/>
          <w:b w:val="0"/>
          <w:color w:val="000000"/>
          <w:sz w:val="24"/>
        </w:rPr>
        <w:t>技能编排调度器根据当前阶段从技能注册表中选择AI技能节点。技能注册表记录技能标识、所属阶段、输入规范、输出规范、触发条件、依赖关系、输出字段和允许写入范围。各AI技能节点的输出不直接覆盖案件结论，而是以结构化结果写入案件状态数据结构中相应字段，并附加来源、置信度和待确认标签。</w:t>
      </w:r>
    </w:p>
    <w:p>
      <w:pPr>
        <w:spacing w:before="0" w:after="120" w:line="300" w:lineRule="auto"/>
        <w:ind w:firstLine="480"/>
      </w:pPr>
      <w:r>
        <w:rPr>
          <w:rFonts w:ascii="Songti SC" w:hAnsi="Songti SC" w:eastAsia="Songti SC" w:cs="Songti SC"/>
          <w:b w:val="0"/>
          <w:color w:val="000000"/>
          <w:sz w:val="24"/>
        </w:rPr>
        <w:t>在倾听理解阶段，系统对当事人表达执行事实、立场和利益三层语义分解。事实层用于抽取合同关系、履行行为、付款记录和违约事项；立场层用于记录当事人的表层要求；利益层用于识别深层需求、担忧点和可协商空间。该三层分解结果能够为后续方案验证提供可交换条件和备选履行路径。</w:t>
      </w:r>
    </w:p>
    <w:p>
      <w:pPr>
        <w:spacing w:before="0" w:after="120" w:line="300" w:lineRule="auto"/>
        <w:ind w:firstLine="480"/>
      </w:pPr>
      <w:r>
        <w:rPr>
          <w:rFonts w:ascii="Songti SC" w:hAnsi="Songti SC" w:eastAsia="Songti SC" w:cs="Songti SC"/>
          <w:b w:val="0"/>
          <w:color w:val="000000"/>
          <w:sz w:val="24"/>
        </w:rPr>
        <w:t>在方案验证阶段，系统将固定立场转换为可交换条件、可组合条款和备选履行路径，生成候选方案集合。系统进一步基于成本、时间、风险、可执行性、关系影响和公平性等维度生成方案评估结果，并提示需要调解员补充确认的事实依据。</w:t>
      </w:r>
    </w:p>
    <w:p>
      <w:pPr>
        <w:spacing w:before="0" w:after="120" w:line="300" w:lineRule="auto"/>
        <w:ind w:firstLine="480"/>
      </w:pPr>
      <w:r>
        <w:rPr>
          <w:rFonts w:ascii="Songti SC" w:hAnsi="Songti SC" w:eastAsia="Songti SC" w:cs="Songti SC"/>
          <w:b w:val="0"/>
          <w:color w:val="000000"/>
          <w:sz w:val="24"/>
        </w:rPr>
        <w:t>在促成解决阶段，系统将经确认的共识转换为结构化条款，并对协议草案执行主体一致性、金额一致性、期限、条件触发、例外事项、条款冲突和不可执行风险校验。对于存在风险的条款，系统仅输出提示和备选表述，不替代调解员或当事人作出决定。</w:t>
      </w:r>
    </w:p>
    <w:p>
      <w:pPr>
        <w:spacing w:before="160" w:after="120"/>
        <w:ind w:firstLine="0"/>
      </w:pPr>
      <w:r>
        <w:rPr>
          <w:rFonts w:ascii="Heiti SC" w:hAnsi="Heiti SC" w:eastAsia="Heiti SC" w:cs="Heiti SC"/>
          <w:b/>
          <w:color w:val="000000"/>
          <w:sz w:val="24"/>
        </w:rPr>
        <w:t>实施例三：中立性约束</w:t>
      </w:r>
    </w:p>
    <w:p>
      <w:pPr>
        <w:spacing w:before="0" w:after="120" w:line="300" w:lineRule="auto"/>
        <w:ind w:firstLine="480"/>
      </w:pPr>
      <w:r>
        <w:rPr>
          <w:rFonts w:ascii="Songti SC" w:hAnsi="Songti SC" w:eastAsia="Songti SC" w:cs="Songti SC"/>
          <w:b w:val="0"/>
          <w:color w:val="000000"/>
          <w:sz w:val="24"/>
        </w:rPr>
        <w:t>中立性约束引擎对AI自然语言生成结果进行拦截和校验。材料依据校验用于判断输出内容是否能够追溯至案件材料、当事人陈述或调解过程记录；非裁判化表达校验用于避免输出确定性裁判结论；非替代决策校验用于避免AI代替调解员或当事人作出程序选择或实体处分；非偏向性语言校验用于降低对任一方的价值判断；信息不足标注用于在材料不足时提示需进一步核实。</w:t>
      </w:r>
    </w:p>
    <w:p>
      <w:pPr>
        <w:spacing w:before="0" w:after="120" w:line="300" w:lineRule="auto"/>
        <w:ind w:firstLine="480"/>
      </w:pPr>
      <w:r>
        <w:rPr>
          <w:rFonts w:ascii="Songti SC" w:hAnsi="Songti SC" w:eastAsia="Songti SC" w:cs="Songti SC"/>
          <w:b w:val="0"/>
          <w:color w:val="000000"/>
          <w:sz w:val="24"/>
        </w:rPr>
        <w:t>经中立性约束引擎处理后的文本以建议、提示、待确认事项或风险说明的形式输出。当生成结果未通过校验时，系统可执行重写、降级输出或提交人工复核，并将校验结果写入技能执行记录。</w:t>
      </w:r>
    </w:p>
    <w:p>
      <w:pPr>
        <w:spacing w:before="160" w:after="120"/>
        <w:ind w:firstLine="0"/>
      </w:pPr>
      <w:r>
        <w:rPr>
          <w:rFonts w:ascii="Heiti SC" w:hAnsi="Heiti SC" w:eastAsia="Heiti SC" w:cs="Heiti SC"/>
          <w:b/>
          <w:color w:val="000000"/>
          <w:sz w:val="24"/>
        </w:rPr>
        <w:t>实施例四：脱敏、技能分析、反脱敏及评估闭环</w:t>
      </w:r>
    </w:p>
    <w:p>
      <w:pPr>
        <w:spacing w:before="0" w:after="120" w:line="300" w:lineRule="auto"/>
        <w:ind w:firstLine="480"/>
      </w:pPr>
      <w:r>
        <w:rPr>
          <w:rFonts w:ascii="Songti SC" w:hAnsi="Songti SC" w:eastAsia="Songti SC" w:cs="Songti SC"/>
          <w:b w:val="0"/>
          <w:color w:val="000000"/>
          <w:sz w:val="24"/>
        </w:rPr>
        <w:t>在一个实施例中，系统在提交AI技能分析前首先执行本地脱敏。脱敏对象包括自然人姓名、法人或组织名称、电话、地址、证件号码、银行账号、电子邮箱、合同编号、订单编号、地理位置和其他可识别当事人身份的信息。系统将敏感实体替换为类型化令牌，例如将真实姓名替换为当事人A、当事人B或PERSON_001，将账号替换为ACCOUNT_001，并生成令牌映射。</w:t>
      </w:r>
    </w:p>
    <w:p>
      <w:pPr>
        <w:spacing w:before="0" w:after="120" w:line="300" w:lineRule="auto"/>
        <w:ind w:firstLine="480"/>
      </w:pPr>
      <w:r>
        <w:rPr>
          <w:rFonts w:ascii="Songti SC" w:hAnsi="Songti SC" w:eastAsia="Songti SC" w:cs="Songti SC"/>
          <w:b w:val="0"/>
          <w:color w:val="000000"/>
          <w:sz w:val="24"/>
        </w:rPr>
        <w:t>系统对脱敏材料执行脱敏完整性校验。该校验可以包括规则匹配、命名实体识别、上下文敏感词检测和映射覆盖率检测。若校验发现未脱敏敏感信息或映射关系不完整，系统阻断材料出域，提示调解员补充处理；若校验通过，系统仅将脱敏材料、技能标识、阶段标识和追踪标识发送至云端AI技能节点。</w:t>
      </w:r>
    </w:p>
    <w:p>
      <w:pPr>
        <w:spacing w:before="0" w:after="120" w:line="300" w:lineRule="auto"/>
        <w:ind w:firstLine="480"/>
      </w:pPr>
      <w:r>
        <w:rPr>
          <w:rFonts w:ascii="Songti SC" w:hAnsi="Songti SC" w:eastAsia="Songti SC" w:cs="Songti SC"/>
          <w:b w:val="0"/>
          <w:color w:val="000000"/>
          <w:sz w:val="24"/>
        </w:rPr>
        <w:t>云端AI技能节点基于脱敏材料生成分析结果。系统接收云端分析结果后，通过本地保存的令牌映射执行反脱敏还原，使调解员看到可读的案件分析结果。令牌映射经加密持久化并设置有效期，超过有效期或案件关闭后可销毁或归档。追踪标识用于关联脱敏记录、云端技能执行记录、反脱敏还原记录和评估记录。</w:t>
      </w:r>
    </w:p>
    <w:p>
      <w:pPr>
        <w:spacing w:before="0" w:after="120" w:line="300" w:lineRule="auto"/>
        <w:ind w:firstLine="480"/>
      </w:pPr>
      <w:r>
        <w:rPr>
          <w:rFonts w:ascii="Songti SC" w:hAnsi="Songti SC" w:eastAsia="Songti SC" w:cs="Songti SC"/>
          <w:b w:val="0"/>
          <w:color w:val="000000"/>
          <w:sz w:val="24"/>
        </w:rPr>
        <w:t>反脱敏完成后，系统对AI技能输出生成质量评估结果。质量评估结果包括归一化评分、总分、缺失要点、幻觉断言、评估置信度和是否需人工复核等字段。当评分低于预设阈值、存在无法追溯到材料的断言、或评估置信度低于阈值时，系统将对应技能执行记录标记为待复核，并阻止其作为阶段转移的自动满足条件。</w:t>
      </w:r>
    </w:p>
    <w:p>
      <w:pPr>
        <w:spacing w:before="0" w:after="120" w:line="300" w:lineRule="auto"/>
        <w:ind w:firstLine="480"/>
      </w:pPr>
      <w:r>
        <w:rPr>
          <w:rFonts w:ascii="Songti SC" w:hAnsi="Songti SC" w:eastAsia="Songti SC" w:cs="Songti SC"/>
          <w:b w:val="0"/>
          <w:color w:val="000000"/>
          <w:sz w:val="24"/>
        </w:rPr>
        <w:t>通过上述闭环，本发明不是简单地将敏感字段替换后调用AI，而是在本地脱敏、出域前完整性校验、云端脱敏分析、本地反脱敏还原、加密映射和质量评估之间建立可追踪的控制链条，从而形成兼顾隐私保护、分析可用性和结果可信度的技术方案。</w:t>
      </w:r>
    </w:p>
    <w:p>
      <w:pPr>
        <w:spacing w:before="160" w:after="120"/>
        <w:ind w:firstLine="0"/>
      </w:pPr>
      <w:r>
        <w:rPr>
          <w:rFonts w:ascii="Heiti SC" w:hAnsi="Heiti SC" w:eastAsia="Heiti SC" w:cs="Heiti SC"/>
          <w:b/>
          <w:color w:val="000000"/>
          <w:sz w:val="24"/>
        </w:rPr>
        <w:t>实施例五：系统结构</w:t>
      </w:r>
    </w:p>
    <w:p>
      <w:pPr>
        <w:spacing w:before="0" w:after="120" w:line="300" w:lineRule="auto"/>
        <w:ind w:firstLine="480"/>
      </w:pPr>
      <w:r>
        <w:rPr>
          <w:rFonts w:ascii="Songti SC" w:hAnsi="Songti SC" w:eastAsia="Songti SC" w:cs="Songti SC"/>
          <w:b w:val="0"/>
          <w:color w:val="000000"/>
          <w:sz w:val="24"/>
        </w:rPr>
        <w:t>系统包括输入模块、案件状态管理模块、阶段状态机模块、技能编排调度模块、中立性约束模块、脱敏与反脱敏模块、评估结果生成模块和输出模块。输入模块用于接收案件材料、当事人陈述和调解过程记录；案件状态管理模块用于维护案件状态数据结构；阶段状态机模块用于执行阶段转移条件校验；技能编排调度模块用于调用与阶段绑定的AI技能节点；中立性约束模块用于校验自然语言生成结果；脱敏与反脱敏模块用于生成脱敏材料和令牌映射并还原AI技能输出；评估结果生成模块用于生成质量评估结果；输出模块用于输出阶段报告、方案比较表、协议草案、履行计划或复核清单。</w:t>
      </w:r>
    </w:p>
    <w:p>
      <w:pPr>
        <w:spacing w:before="0" w:after="120" w:line="300" w:lineRule="auto"/>
        <w:ind w:firstLine="480"/>
      </w:pPr>
      <w:r>
        <w:rPr>
          <w:rFonts w:ascii="Songti SC" w:hAnsi="Songti SC" w:eastAsia="Songti SC" w:cs="Songti SC"/>
          <w:b w:val="0"/>
          <w:color w:val="000000"/>
          <w:sz w:val="24"/>
        </w:rPr>
        <w:t>上述系统可以采用客户端、本地服务器、私有云或混合云部署。对于需要出域分析的AI技能节点，系统优先执行本地脱敏和完整性校验；对于可在本地完成的规则校验、阶段转移判断、协议校对和质量评估，可以在本地环境完成。系统还可以配置权限控制、审计日志和版本记录，以支持复核和责任追溯。</w:t>
      </w:r>
    </w:p>
    <w:p>
      <w:pPr>
        <w:spacing w:before="160" w:after="120"/>
        <w:ind w:firstLine="0"/>
      </w:pPr>
      <w:r>
        <w:rPr>
          <w:rFonts w:ascii="Heiti SC" w:hAnsi="Heiti SC" w:eastAsia="Heiti SC" w:cs="Heiti SC"/>
          <w:b/>
          <w:color w:val="000000"/>
          <w:sz w:val="24"/>
        </w:rPr>
        <w:t>阶段与技能节点示例表</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F2F2F2"/>
          </w:tcPr>
          <w:p>
            <w:pPr>
              <w:spacing w:after="0"/>
              <w:jc w:val="center"/>
            </w:pPr>
            <w:r/>
            <w:r>
              <w:rPr>
                <w:rFonts w:ascii="Heiti SC" w:hAnsi="Heiti SC" w:eastAsia="Heiti SC" w:cs="Heiti SC"/>
                <w:b/>
                <w:color w:val="000000"/>
                <w:sz w:val="20"/>
              </w:rPr>
              <w:t>阶段</w:t>
            </w:r>
          </w:p>
        </w:tc>
        <w:tc>
          <w:tcPr>
            <w:tcW w:type="dxa" w:w="2339"/>
            <w:vAlign w:val="center"/>
            <w:shd w:fill="F2F2F2"/>
          </w:tcPr>
          <w:p>
            <w:pPr>
              <w:spacing w:after="0"/>
              <w:jc w:val="center"/>
            </w:pPr>
            <w:r/>
            <w:r>
              <w:rPr>
                <w:rFonts w:ascii="Heiti SC" w:hAnsi="Heiti SC" w:eastAsia="Heiti SC" w:cs="Heiti SC"/>
                <w:b/>
                <w:color w:val="000000"/>
                <w:sz w:val="20"/>
              </w:rPr>
              <w:t>阶段目标</w:t>
            </w:r>
          </w:p>
        </w:tc>
        <w:tc>
          <w:tcPr>
            <w:tcW w:type="dxa" w:w="2339"/>
            <w:vAlign w:val="center"/>
            <w:shd w:fill="F2F2F2"/>
          </w:tcPr>
          <w:p>
            <w:pPr>
              <w:spacing w:after="0"/>
              <w:jc w:val="center"/>
            </w:pPr>
            <w:r/>
            <w:r>
              <w:rPr>
                <w:rFonts w:ascii="Heiti SC" w:hAnsi="Heiti SC" w:eastAsia="Heiti SC" w:cs="Heiti SC"/>
                <w:b/>
                <w:color w:val="000000"/>
                <w:sz w:val="20"/>
              </w:rPr>
              <w:t>示例AI技能节点</w:t>
            </w:r>
          </w:p>
        </w:tc>
        <w:tc>
          <w:tcPr>
            <w:tcW w:type="dxa" w:w="2339"/>
            <w:vAlign w:val="center"/>
            <w:shd w:fill="F2F2F2"/>
          </w:tcPr>
          <w:p>
            <w:pPr>
              <w:spacing w:after="0"/>
              <w:jc w:val="center"/>
            </w:pPr>
            <w:r/>
            <w:r>
              <w:rPr>
                <w:rFonts w:ascii="Heiti SC" w:hAnsi="Heiti SC" w:eastAsia="Heiti SC" w:cs="Heiti SC"/>
                <w:b/>
                <w:color w:val="000000"/>
                <w:sz w:val="20"/>
              </w:rPr>
              <w:t>阶段输出</w:t>
            </w:r>
          </w:p>
        </w:tc>
      </w:tr>
      <w:tr>
        <w:tc>
          <w:tcPr>
            <w:tcW w:type="dxa" w:w="2339"/>
            <w:vAlign w:val="center"/>
          </w:tcPr>
          <w:p>
            <w:pPr>
              <w:spacing w:after="0"/>
              <w:jc w:val="left"/>
            </w:pPr>
            <w:r/>
            <w:r>
              <w:rPr>
                <w:rFonts w:ascii="Songti SC" w:hAnsi="Songti SC" w:eastAsia="Songti SC" w:cs="Songti SC"/>
                <w:b w:val="0"/>
                <w:color w:val="000000"/>
                <w:sz w:val="20"/>
              </w:rPr>
              <w:t>接案准备</w:t>
            </w:r>
          </w:p>
        </w:tc>
        <w:tc>
          <w:tcPr>
            <w:tcW w:type="dxa" w:w="2339"/>
            <w:vAlign w:val="center"/>
          </w:tcPr>
          <w:p>
            <w:pPr>
              <w:spacing w:after="0"/>
              <w:jc w:val="left"/>
            </w:pPr>
            <w:r/>
            <w:r>
              <w:rPr>
                <w:rFonts w:ascii="Songti SC" w:hAnsi="Songti SC" w:eastAsia="Songti SC" w:cs="Songti SC"/>
                <w:b w:val="0"/>
                <w:color w:val="000000"/>
                <w:sz w:val="20"/>
              </w:rPr>
              <w:t>形成案件基础状态</w:t>
            </w:r>
          </w:p>
        </w:tc>
        <w:tc>
          <w:tcPr>
            <w:tcW w:type="dxa" w:w="2339"/>
            <w:vAlign w:val="center"/>
          </w:tcPr>
          <w:p>
            <w:pPr>
              <w:spacing w:after="0"/>
              <w:jc w:val="left"/>
            </w:pPr>
            <w:r/>
            <w:r>
              <w:rPr>
                <w:rFonts w:ascii="Songti SC" w:hAnsi="Songti SC" w:eastAsia="Songti SC" w:cs="Songti SC"/>
                <w:b w:val="0"/>
                <w:color w:val="000000"/>
                <w:sz w:val="20"/>
              </w:rPr>
              <w:t>材料归档、主体识别、争议类型识别、敏感信息初筛、风险初评</w:t>
            </w:r>
          </w:p>
        </w:tc>
        <w:tc>
          <w:tcPr>
            <w:tcW w:type="dxa" w:w="2339"/>
            <w:vAlign w:val="center"/>
          </w:tcPr>
          <w:p>
            <w:pPr>
              <w:spacing w:after="0"/>
              <w:jc w:val="left"/>
            </w:pPr>
            <w:r/>
            <w:r>
              <w:rPr>
                <w:rFonts w:ascii="Songti SC" w:hAnsi="Songti SC" w:eastAsia="Songti SC" w:cs="Songti SC"/>
                <w:b w:val="0"/>
                <w:color w:val="000000"/>
                <w:sz w:val="20"/>
              </w:rPr>
              <w:t>案件状态初始记录</w:t>
            </w:r>
          </w:p>
        </w:tc>
      </w:tr>
      <w:tr>
        <w:tc>
          <w:tcPr>
            <w:tcW w:type="dxa" w:w="2339"/>
            <w:vAlign w:val="center"/>
          </w:tcPr>
          <w:p>
            <w:pPr>
              <w:spacing w:after="0"/>
              <w:jc w:val="left"/>
            </w:pPr>
            <w:r/>
            <w:r>
              <w:rPr>
                <w:rFonts w:ascii="Songti SC" w:hAnsi="Songti SC" w:eastAsia="Songti SC" w:cs="Songti SC"/>
                <w:b w:val="0"/>
                <w:color w:val="000000"/>
                <w:sz w:val="20"/>
              </w:rPr>
              <w:t>开启过程</w:t>
            </w:r>
          </w:p>
        </w:tc>
        <w:tc>
          <w:tcPr>
            <w:tcW w:type="dxa" w:w="2339"/>
            <w:vAlign w:val="center"/>
          </w:tcPr>
          <w:p>
            <w:pPr>
              <w:spacing w:after="0"/>
              <w:jc w:val="left"/>
            </w:pPr>
            <w:r/>
            <w:r>
              <w:rPr>
                <w:rFonts w:ascii="Songti SC" w:hAnsi="Songti SC" w:eastAsia="Songti SC" w:cs="Songti SC"/>
                <w:b w:val="0"/>
                <w:color w:val="000000"/>
                <w:sz w:val="20"/>
              </w:rPr>
              <w:t>明确程序和沟通边界</w:t>
            </w:r>
          </w:p>
        </w:tc>
        <w:tc>
          <w:tcPr>
            <w:tcW w:type="dxa" w:w="2339"/>
            <w:vAlign w:val="center"/>
          </w:tcPr>
          <w:p>
            <w:pPr>
              <w:spacing w:after="0"/>
              <w:jc w:val="left"/>
            </w:pPr>
            <w:r/>
            <w:r>
              <w:rPr>
                <w:rFonts w:ascii="Songti SC" w:hAnsi="Songti SC" w:eastAsia="Songti SC" w:cs="Songti SC"/>
                <w:b w:val="0"/>
                <w:color w:val="000000"/>
                <w:sz w:val="20"/>
              </w:rPr>
              <w:t>议程生成、规则提示、角色说明、沟通风险提示、确认事项提取</w:t>
            </w:r>
          </w:p>
        </w:tc>
        <w:tc>
          <w:tcPr>
            <w:tcW w:type="dxa" w:w="2339"/>
            <w:vAlign w:val="center"/>
          </w:tcPr>
          <w:p>
            <w:pPr>
              <w:spacing w:after="0"/>
              <w:jc w:val="left"/>
            </w:pPr>
            <w:r/>
            <w:r>
              <w:rPr>
                <w:rFonts w:ascii="Songti SC" w:hAnsi="Songti SC" w:eastAsia="Songti SC" w:cs="Songti SC"/>
                <w:b w:val="0"/>
                <w:color w:val="000000"/>
                <w:sz w:val="20"/>
              </w:rPr>
              <w:t>程序确认记录</w:t>
            </w:r>
          </w:p>
        </w:tc>
      </w:tr>
      <w:tr>
        <w:tc>
          <w:tcPr>
            <w:tcW w:type="dxa" w:w="2339"/>
            <w:vAlign w:val="center"/>
          </w:tcPr>
          <w:p>
            <w:pPr>
              <w:spacing w:after="0"/>
              <w:jc w:val="left"/>
            </w:pPr>
            <w:r/>
            <w:r>
              <w:rPr>
                <w:rFonts w:ascii="Songti SC" w:hAnsi="Songti SC" w:eastAsia="Songti SC" w:cs="Songti SC"/>
                <w:b w:val="0"/>
                <w:color w:val="000000"/>
                <w:sz w:val="20"/>
              </w:rPr>
              <w:t>倾听理解</w:t>
            </w:r>
          </w:p>
        </w:tc>
        <w:tc>
          <w:tcPr>
            <w:tcW w:type="dxa" w:w="2339"/>
            <w:vAlign w:val="center"/>
          </w:tcPr>
          <w:p>
            <w:pPr>
              <w:spacing w:after="0"/>
              <w:jc w:val="left"/>
            </w:pPr>
            <w:r/>
            <w:r>
              <w:rPr>
                <w:rFonts w:ascii="Songti SC" w:hAnsi="Songti SC" w:eastAsia="Songti SC" w:cs="Songti SC"/>
                <w:b w:val="0"/>
                <w:color w:val="000000"/>
                <w:sz w:val="20"/>
              </w:rPr>
              <w:t>识别事实、立场和利益</w:t>
            </w:r>
          </w:p>
        </w:tc>
        <w:tc>
          <w:tcPr>
            <w:tcW w:type="dxa" w:w="2339"/>
            <w:vAlign w:val="center"/>
          </w:tcPr>
          <w:p>
            <w:pPr>
              <w:spacing w:after="0"/>
              <w:jc w:val="left"/>
            </w:pPr>
            <w:r/>
            <w:r>
              <w:rPr>
                <w:rFonts w:ascii="Songti SC" w:hAnsi="Songti SC" w:eastAsia="Songti SC" w:cs="Songti SC"/>
                <w:b w:val="0"/>
                <w:color w:val="000000"/>
                <w:sz w:val="20"/>
              </w:rPr>
              <w:t>事实抽取、立场识别、利益识别、争点归纳、待确认事项生成</w:t>
            </w:r>
          </w:p>
        </w:tc>
        <w:tc>
          <w:tcPr>
            <w:tcW w:type="dxa" w:w="2339"/>
            <w:vAlign w:val="center"/>
          </w:tcPr>
          <w:p>
            <w:pPr>
              <w:spacing w:after="0"/>
              <w:jc w:val="left"/>
            </w:pPr>
            <w:r/>
            <w:r>
              <w:rPr>
                <w:rFonts w:ascii="Songti SC" w:hAnsi="Songti SC" w:eastAsia="Songti SC" w:cs="Songti SC"/>
                <w:b w:val="0"/>
                <w:color w:val="000000"/>
                <w:sz w:val="20"/>
              </w:rPr>
              <w:t>三层语义分解结果</w:t>
            </w:r>
          </w:p>
        </w:tc>
      </w:tr>
      <w:tr>
        <w:tc>
          <w:tcPr>
            <w:tcW w:type="dxa" w:w="2339"/>
            <w:vAlign w:val="center"/>
          </w:tcPr>
          <w:p>
            <w:pPr>
              <w:spacing w:after="0"/>
              <w:jc w:val="left"/>
            </w:pPr>
            <w:r/>
            <w:r>
              <w:rPr>
                <w:rFonts w:ascii="Songti SC" w:hAnsi="Songti SC" w:eastAsia="Songti SC" w:cs="Songti SC"/>
                <w:b w:val="0"/>
                <w:color w:val="000000"/>
                <w:sz w:val="20"/>
              </w:rPr>
              <w:t>方案验证</w:t>
            </w:r>
          </w:p>
        </w:tc>
        <w:tc>
          <w:tcPr>
            <w:tcW w:type="dxa" w:w="2339"/>
            <w:vAlign w:val="center"/>
          </w:tcPr>
          <w:p>
            <w:pPr>
              <w:spacing w:after="0"/>
              <w:jc w:val="left"/>
            </w:pPr>
            <w:r/>
            <w:r>
              <w:rPr>
                <w:rFonts w:ascii="Songti SC" w:hAnsi="Songti SC" w:eastAsia="Songti SC" w:cs="Songti SC"/>
                <w:b w:val="0"/>
                <w:color w:val="000000"/>
                <w:sz w:val="20"/>
              </w:rPr>
              <w:t>形成并比较候选方案</w:t>
            </w:r>
          </w:p>
        </w:tc>
        <w:tc>
          <w:tcPr>
            <w:tcW w:type="dxa" w:w="2339"/>
            <w:vAlign w:val="center"/>
          </w:tcPr>
          <w:p>
            <w:pPr>
              <w:spacing w:after="0"/>
              <w:jc w:val="left"/>
            </w:pPr>
            <w:r/>
            <w:r>
              <w:rPr>
                <w:rFonts w:ascii="Songti SC" w:hAnsi="Songti SC" w:eastAsia="Songti SC" w:cs="Songti SC"/>
                <w:b w:val="0"/>
                <w:color w:val="000000"/>
                <w:sz w:val="20"/>
              </w:rPr>
              <w:t>条件转换、方案生成、方案评估、风险比较、可执行性校验</w:t>
            </w:r>
          </w:p>
        </w:tc>
        <w:tc>
          <w:tcPr>
            <w:tcW w:type="dxa" w:w="2339"/>
            <w:vAlign w:val="center"/>
          </w:tcPr>
          <w:p>
            <w:pPr>
              <w:spacing w:after="0"/>
              <w:jc w:val="left"/>
            </w:pPr>
            <w:r/>
            <w:r>
              <w:rPr>
                <w:rFonts w:ascii="Songti SC" w:hAnsi="Songti SC" w:eastAsia="Songti SC" w:cs="Songti SC"/>
                <w:b w:val="0"/>
                <w:color w:val="000000"/>
                <w:sz w:val="20"/>
              </w:rPr>
              <w:t>候选方案集合和评估结果</w:t>
            </w:r>
          </w:p>
        </w:tc>
      </w:tr>
      <w:tr>
        <w:tc>
          <w:tcPr>
            <w:tcW w:type="dxa" w:w="2339"/>
            <w:vAlign w:val="center"/>
          </w:tcPr>
          <w:p>
            <w:pPr>
              <w:spacing w:after="0"/>
              <w:jc w:val="left"/>
            </w:pPr>
            <w:r/>
            <w:r>
              <w:rPr>
                <w:rFonts w:ascii="Songti SC" w:hAnsi="Songti SC" w:eastAsia="Songti SC" w:cs="Songti SC"/>
                <w:b w:val="0"/>
                <w:color w:val="000000"/>
                <w:sz w:val="20"/>
              </w:rPr>
              <w:t>促成解决</w:t>
            </w:r>
          </w:p>
        </w:tc>
        <w:tc>
          <w:tcPr>
            <w:tcW w:type="dxa" w:w="2339"/>
            <w:vAlign w:val="center"/>
          </w:tcPr>
          <w:p>
            <w:pPr>
              <w:spacing w:after="0"/>
              <w:jc w:val="left"/>
            </w:pPr>
            <w:r/>
            <w:r>
              <w:rPr>
                <w:rFonts w:ascii="Songti SC" w:hAnsi="Songti SC" w:eastAsia="Songti SC" w:cs="Songti SC"/>
                <w:b w:val="0"/>
                <w:color w:val="000000"/>
                <w:sz w:val="20"/>
              </w:rPr>
              <w:t>生成可执行结果</w:t>
            </w:r>
          </w:p>
        </w:tc>
        <w:tc>
          <w:tcPr>
            <w:tcW w:type="dxa" w:w="2339"/>
            <w:vAlign w:val="center"/>
          </w:tcPr>
          <w:p>
            <w:pPr>
              <w:spacing w:after="0"/>
              <w:jc w:val="left"/>
            </w:pPr>
            <w:r/>
            <w:r>
              <w:rPr>
                <w:rFonts w:ascii="Songti SC" w:hAnsi="Songti SC" w:eastAsia="Songti SC" w:cs="Songti SC"/>
                <w:b w:val="0"/>
                <w:color w:val="000000"/>
                <w:sz w:val="20"/>
              </w:rPr>
              <w:t>条款生成、协议校对、履行计划、风险提示、未达成记录生成</w:t>
            </w:r>
          </w:p>
        </w:tc>
        <w:tc>
          <w:tcPr>
            <w:tcW w:type="dxa" w:w="2339"/>
            <w:vAlign w:val="center"/>
          </w:tcPr>
          <w:p>
            <w:pPr>
              <w:spacing w:after="0"/>
              <w:jc w:val="left"/>
            </w:pPr>
            <w:r/>
            <w:r>
              <w:rPr>
                <w:rFonts w:ascii="Songti SC" w:hAnsi="Songti SC" w:eastAsia="Songti SC" w:cs="Songti SC"/>
                <w:b w:val="0"/>
                <w:color w:val="000000"/>
                <w:sz w:val="20"/>
              </w:rPr>
              <w:t>协议草案或结案记录</w:t>
            </w:r>
          </w:p>
        </w:tc>
      </w:tr>
    </w:tbl>
    <w:p>
      <w:pPr>
        <w:spacing w:after="120"/>
      </w:pPr>
    </w:p>
    <w:p>
      <w:pPr>
        <w:spacing w:before="0" w:after="120" w:line="300" w:lineRule="auto"/>
        <w:ind w:firstLine="480"/>
      </w:pPr>
      <w:r>
        <w:rPr>
          <w:rFonts w:ascii="Songti SC" w:hAnsi="Songti SC" w:eastAsia="Songti SC" w:cs="Songti SC"/>
          <w:b w:val="0"/>
          <w:color w:val="000000"/>
          <w:sz w:val="24"/>
        </w:rPr>
        <w:t>以上实施方式中的各步骤可以由计算机程序实现，也可以由硬件、软件或者软硬件结合的方式实现。凡在本发明精神和原则之内所作的等同替换、组合或变形，均应包含在本发明的保护范围之内。</w:t>
      </w:r>
    </w:p>
    <w:sectPr w:rsidR="00FC693F" w:rsidRPr="0006063C" w:rsidSect="00034616">
      <w:pgSz w:w="11906" w:h="16838"/>
      <w:pgMar w:top="1417" w:right="1134" w:bottom="1134"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