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 w:cs="PingFang SC"/>
          <w:sz w:val="32"/>
        </w:rPr>
        <w:t>PingFang SC: 说明书摘要 基于阶段状态机与技能编排 AI辅助商事调解</w:t>
      </w:r>
    </w:p>
    <w:p>
      <w:r>
        <w:rPr>
          <w:rFonts w:ascii="Songti SC" w:hAnsi="Songti SC" w:eastAsia="Songti SC" w:cs="Songti SC"/>
          <w:sz w:val="32"/>
        </w:rPr>
        <w:t>Songti SC: 说明书摘要 基于阶段状态机与技能编排 AI辅助商事调解</w:t>
      </w:r>
    </w:p>
    <w:p>
      <w:r>
        <w:rPr>
          <w:rFonts w:ascii="Heiti SC" w:hAnsi="Heiti SC" w:eastAsia="Heiti SC" w:cs="Heiti SC"/>
          <w:sz w:val="32"/>
        </w:rPr>
        <w:t>Heiti SC: 说明书摘要 基于阶段状态机与技能编排 AI辅助商事调解</w:t>
      </w:r>
    </w:p>
    <w:p>
      <w:r>
        <w:rPr>
          <w:rFonts w:ascii="STSong" w:hAnsi="STSong" w:eastAsia="STSong" w:cs="STSong"/>
          <w:sz w:val="32"/>
        </w:rPr>
        <w:t>STSong: 说明书摘要 基于阶段状态机与技能编排 AI辅助商事调解</w:t>
      </w:r>
    </w:p>
    <w:p>
      <w:r>
        <w:rPr>
          <w:rFonts w:ascii="STHeiti" w:hAnsi="STHeiti" w:eastAsia="STHeiti" w:cs="STHeiti"/>
          <w:sz w:val="32"/>
        </w:rPr>
        <w:t>STHeiti: 说明书摘要 基于阶段状态机与技能编排 AI辅助商事调解</w:t>
      </w:r>
    </w:p>
    <w:p>
      <w:r>
        <w:rPr>
          <w:rFonts w:ascii="Arial Unicode MS" w:hAnsi="Arial Unicode MS" w:eastAsia="Arial Unicode MS" w:cs="Arial Unicode MS"/>
          <w:sz w:val="32"/>
        </w:rPr>
        <w:t>Arial Unicode MS: 说明书摘要 基于阶段状态机与技能编排 AI辅助商事调解</w:t>
      </w:r>
    </w:p>
    <w:p>
      <w:r>
        <w:rPr>
          <w:rFonts w:ascii="Hiragino Sans GB" w:hAnsi="Hiragino Sans GB" w:eastAsia="Hiragino Sans GB" w:cs="Hiragino Sans GB"/>
          <w:sz w:val="32"/>
        </w:rPr>
        <w:t>Hiragino Sans GB: 说明书摘要 基于阶段状态机与技能编排 AI辅助商事调解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