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Projet – ADN de la marque (Version fondatrice)</w:t>
      </w:r>
    </w:p>
    <w:p>
      <w:r>
        <w:rPr>
          <w:b/>
        </w:rPr>
        <w:t xml:space="preserve">Ce document fige les convictions fondatrices du projet. </w:t>
      </w:r>
      <w:r>
        <w:t>Il ne s'agit pas d'un document marketing, mais d'un document de référence destiné à guider toutes les décisions de conception.</w:t>
      </w:r>
    </w:p>
    <w:p>
      <w:pPr>
        <w:pStyle w:val="Heading2"/>
      </w:pPr>
      <w:r>
        <w:t>ADN</w:t>
      </w:r>
    </w:p>
    <w:p>
      <w:r>
        <w:t>Les données sont un outil, jamais une finalité.</w:t>
      </w:r>
    </w:p>
    <w:p>
      <w:pPr>
        <w:pStyle w:val="Heading2"/>
      </w:pPr>
      <w:r>
        <w:t>Vision</w:t>
      </w:r>
    </w:p>
    <w:p>
      <w:r>
        <w:t>Dans un monde obsédé par les chiffres, nous voulons remettre les émotions au cœur de chaque aventure.</w:t>
      </w:r>
    </w:p>
    <w:p>
      <w:pPr>
        <w:pStyle w:val="Heading2"/>
      </w:pPr>
      <w:r>
        <w:t>Mission</w:t>
      </w:r>
    </w:p>
    <w:p>
      <w:r>
        <w:t>Nous ne racontons pas ce que vous avez fait. Nous racontons ce que cela a changé en vous.</w:t>
      </w:r>
    </w:p>
    <w:p>
      <w:pPr>
        <w:pStyle w:val="Heading2"/>
      </w:pPr>
      <w:r>
        <w:t>Positionnement</w:t>
      </w:r>
    </w:p>
    <w:p>
      <w:r>
        <w:t>Transformer des données sportives en histoire.</w:t>
      </w:r>
    </w:p>
    <w:p>
      <w:pPr>
        <w:pStyle w:val="Heading2"/>
      </w:pPr>
      <w:r>
        <w:t>Philosophie</w:t>
      </w:r>
    </w:p>
    <w:p>
      <w:r>
        <w:t>La technologie devrait nous aider à vivre davantage, pas simplement à mesurer davantage.</w:t>
      </w:r>
    </w:p>
    <w:p>
      <w:pPr>
        <w:pStyle w:val="Heading2"/>
      </w:pPr>
      <w:r>
        <w:t>Ton de la marque</w:t>
      </w:r>
    </w:p>
    <w:p>
      <w:r>
        <w:t>- Intelligent sans être prétentieux</w:t>
        <w:br/>
        <w:t>- Humain avant d'être technologique</w:t>
        <w:br/>
        <w:t>- Inspirant sans être moralisateur</w:t>
        <w:br/>
        <w:t>- Légèrement provocateur, toujours bienveillant</w:t>
        <w:br/>
        <w:t>- Les émotions avant les performances</w:t>
      </w:r>
    </w:p>
    <w:p>
      <w:pPr>
        <w:pStyle w:val="Heading2"/>
      </w:pPr>
      <w:r>
        <w:t>Principes fondateurs</w:t>
      </w:r>
    </w:p>
    <w:p>
      <w:pPr>
        <w:pStyle w:val="ListBullet"/>
      </w:pPr>
      <w:r>
        <w:t>Chaque donnée représente un moment vécu par un être humain.</w:t>
      </w:r>
    </w:p>
    <w:p>
      <w:pPr>
        <w:pStyle w:val="ListBullet"/>
      </w:pPr>
      <w:r>
        <w:t>Nous ne comparons pas les personnes. Nous racontons leur parcours.</w:t>
      </w:r>
    </w:p>
    <w:p>
      <w:pPr>
        <w:pStyle w:val="ListBullet"/>
      </w:pPr>
      <w:r>
        <w:t>Une application doit donner envie de vivre davantage, pas de regarder davantage son écran.</w:t>
      </w:r>
    </w:p>
    <w:p>
      <w:pPr>
        <w:pStyle w:val="ListBullet"/>
      </w:pPr>
      <w:r>
        <w:t>Le sport est notre socle. Les données existent déjà ; notre rôle est de leur donner du sens.</w:t>
      </w:r>
    </w:p>
    <w:p>
      <w:pPr>
        <w:pStyle w:val="ListBullet"/>
      </w:pPr>
      <w:r>
        <w:t>Chaque fonctionnalité devra répondre à une question : aide-t-elle l'utilisateur à mieux vivre son aventure ou seulement à mesurer davantage ?</w:t>
      </w:r>
    </w:p>
    <w:p>
      <w:pPr>
        <w:pStyle w:val="Heading2"/>
      </w:pPr>
      <w:r>
        <w:t>À propos du nom</w:t>
      </w:r>
    </w:p>
    <w:p>
      <w:r>
        <w:t>Le nom de la marque n'est volontairement pas figé. Nous avons choisi de construire d'abord l'identité, la vision et le produit. Le nom devra devenir une évidence, et non une décision forcée.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