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B04FD" w14:textId="77777777" w:rsidR="003C6BE6" w:rsidRDefault="003C6BE6" w:rsidP="003C6BE6">
      <w:pPr>
        <w:pStyle w:val="Header"/>
        <w:tabs>
          <w:tab w:val="clear" w:pos="4680"/>
          <w:tab w:val="clear" w:pos="9360"/>
          <w:tab w:val="center" w:pos="5400"/>
          <w:tab w:val="right" w:pos="10800"/>
        </w:tabs>
        <w:spacing w:after="240" w:line="264" w:lineRule="auto"/>
      </w:pPr>
      <w:r>
        <w:t>CPFR Data Platform and Chewy Partner Hub Portal</w:t>
      </w:r>
      <w:r>
        <w:tab/>
      </w:r>
      <w:r>
        <w:tab/>
        <w:t>Project Entitlement</w:t>
      </w:r>
    </w:p>
    <w:p w14:paraId="299D0BE4" w14:textId="67E6C7CB" w:rsidR="00EB609A" w:rsidRPr="00D0092F" w:rsidRDefault="00EB609A" w:rsidP="009206BA">
      <w:pPr>
        <w:pStyle w:val="Heading1"/>
      </w:pPr>
      <w:r w:rsidRPr="00D0092F">
        <w:t>Executive Summary</w:t>
      </w:r>
    </w:p>
    <w:p w14:paraId="2DF64E4F" w14:textId="6F503AEB" w:rsidR="009206BA" w:rsidRPr="009206BA" w:rsidRDefault="009206BA" w:rsidP="009206BA">
      <w:pPr>
        <w:spacing w:line="240" w:lineRule="auto"/>
        <w:rPr>
          <w:szCs w:val="20"/>
        </w:rPr>
      </w:pPr>
      <w:r w:rsidRPr="009206BA">
        <w:rPr>
          <w:szCs w:val="20"/>
        </w:rPr>
        <w:t>Chewy’s CPFR program is transforming how supply-chain data is shared and understood. Today, weekly emailed reports—each built from multiple queries</w:t>
      </w:r>
      <w:r w:rsidR="00390734">
        <w:rPr>
          <w:szCs w:val="20"/>
        </w:rPr>
        <w:t xml:space="preserve">—and </w:t>
      </w:r>
      <w:r w:rsidRPr="009206BA">
        <w:rPr>
          <w:szCs w:val="20"/>
        </w:rPr>
        <w:t>parallel VDS processes</w:t>
      </w:r>
      <w:r w:rsidR="00390734">
        <w:rPr>
          <w:szCs w:val="20"/>
        </w:rPr>
        <w:t xml:space="preserve">, </w:t>
      </w:r>
      <w:r w:rsidRPr="009206BA">
        <w:rPr>
          <w:szCs w:val="20"/>
        </w:rPr>
        <w:t>fragment visibility, duplicate effort, and limit scalability.</w:t>
      </w:r>
    </w:p>
    <w:p w14:paraId="07152F8B" w14:textId="77777777" w:rsidR="004D55C3" w:rsidRDefault="009206BA" w:rsidP="009206BA">
      <w:pPr>
        <w:spacing w:line="240" w:lineRule="auto"/>
        <w:rPr>
          <w:szCs w:val="20"/>
        </w:rPr>
      </w:pPr>
      <w:r w:rsidRPr="009206BA">
        <w:rPr>
          <w:szCs w:val="20"/>
        </w:rPr>
        <w:t>This initiative unites two complementary components: a centralized data platform in Snowflake that delivers governed, daily CPFR data at scale</w:t>
      </w:r>
      <w:r w:rsidR="00390734">
        <w:rPr>
          <w:szCs w:val="20"/>
        </w:rPr>
        <w:t>,</w:t>
      </w:r>
      <w:r w:rsidRPr="009206BA">
        <w:rPr>
          <w:szCs w:val="20"/>
        </w:rPr>
        <w:t xml:space="preserve"> and a CPFR Vendor Portal within Chewy Partner Hub (CPH), that offers vendors secure, always-on access through a modern interface. Together, these capabilities create a shared, consistent foundation that strengthens vendor collaboration and focus, simplifies access, and positions the organization for sustained collaborative growth.</w:t>
      </w:r>
      <w:r>
        <w:rPr>
          <w:szCs w:val="20"/>
        </w:rPr>
        <w:t xml:space="preserve"> </w:t>
      </w:r>
      <w:r w:rsidR="00120C86" w:rsidRPr="00120C86">
        <w:rPr>
          <w:szCs w:val="20"/>
        </w:rPr>
        <w:t>The initiative delivers $1.</w:t>
      </w:r>
      <w:r w:rsidR="00AF2B5A">
        <w:rPr>
          <w:szCs w:val="20"/>
        </w:rPr>
        <w:t>4</w:t>
      </w:r>
      <w:r w:rsidR="00120C86" w:rsidRPr="00120C86">
        <w:rPr>
          <w:szCs w:val="20"/>
        </w:rPr>
        <w:t xml:space="preserve">M in recurring annual CPFR-specific operational value (ISM capacity expansion, data governance efficiency, cost avoidance enablement), with additional unmeasured vendor-side efficiency gains strengthening collaborative relationships. </w:t>
      </w:r>
    </w:p>
    <w:p w14:paraId="61B9CB5A" w14:textId="599BAE50" w:rsidR="009206BA" w:rsidRDefault="004D55C3" w:rsidP="009206BA">
      <w:pPr>
        <w:spacing w:line="240" w:lineRule="auto"/>
        <w:rPr>
          <w:szCs w:val="20"/>
        </w:rPr>
      </w:pPr>
      <w:r w:rsidRPr="004D55C3">
        <w:rPr>
          <w:szCs w:val="20"/>
        </w:rPr>
        <w:t>CPFR enters this next phase from a position of strong vendor trust, reflected in recent survey feedback showing a 96% unweighted vendor approval rating. While sample-based, this signal underscores the importance of preserving data integrity and partner confidence as the program scales.</w:t>
      </w:r>
      <w:r>
        <w:rPr>
          <w:szCs w:val="20"/>
        </w:rPr>
        <w:t xml:space="preserve"> </w:t>
      </w:r>
      <w:r w:rsidR="00120C86" w:rsidRPr="00120C86">
        <w:rPr>
          <w:szCs w:val="20"/>
        </w:rPr>
        <w:t>Combined with VC and Chargeback integration, this unified platform investment supports Chewy's digital modernization strategy while establishing infrastructure for future advanced analytics capabilities.</w:t>
      </w:r>
    </w:p>
    <w:p w14:paraId="31E4327C" w14:textId="74A464BE" w:rsidR="00EB609A" w:rsidRPr="00D0092F" w:rsidRDefault="00EB609A" w:rsidP="009206BA">
      <w:pPr>
        <w:pStyle w:val="Heading1"/>
      </w:pPr>
      <w:r w:rsidRPr="00D0092F">
        <w:t>Context and Current State</w:t>
      </w:r>
    </w:p>
    <w:p w14:paraId="2DF43258" w14:textId="77777777" w:rsidR="009206BA" w:rsidRPr="009206BA" w:rsidRDefault="009206BA" w:rsidP="009206BA">
      <w:pPr>
        <w:spacing w:line="240" w:lineRule="auto"/>
        <w:rPr>
          <w:szCs w:val="20"/>
        </w:rPr>
      </w:pPr>
      <w:r w:rsidRPr="009206BA">
        <w:rPr>
          <w:szCs w:val="20"/>
        </w:rPr>
        <w:t>Across Chewy’s supply chain, CPFR activities span multiple processes and workstreams that depend on parallel data pulls, manual coordination, and frequent reconciliation. These distributed practices create friction that limits scale and consistency.</w:t>
      </w:r>
    </w:p>
    <w:p w14:paraId="7D5CF534" w14:textId="627AEA21" w:rsidR="009206BA" w:rsidRPr="009206BA" w:rsidRDefault="009206BA" w:rsidP="009206BA">
      <w:pPr>
        <w:spacing w:line="240" w:lineRule="auto"/>
        <w:rPr>
          <w:szCs w:val="20"/>
        </w:rPr>
      </w:pPr>
      <w:r w:rsidRPr="009206BA">
        <w:rPr>
          <w:szCs w:val="20"/>
        </w:rPr>
        <w:t>Today, CPFR distributes weekly inventory and forecast reports to more than 2,300 vendors. While some steps are automated, each cycle still depends on semi-manual initiation</w:t>
      </w:r>
      <w:r>
        <w:rPr>
          <w:szCs w:val="20"/>
        </w:rPr>
        <w:t xml:space="preserve">, </w:t>
      </w:r>
      <w:r w:rsidRPr="009206BA">
        <w:rPr>
          <w:szCs w:val="20"/>
        </w:rPr>
        <w:t>recurring adjustments</w:t>
      </w:r>
      <w:r>
        <w:rPr>
          <w:szCs w:val="20"/>
        </w:rPr>
        <w:t xml:space="preserve"> to </w:t>
      </w:r>
      <w:r w:rsidRPr="009206BA">
        <w:rPr>
          <w:szCs w:val="20"/>
        </w:rPr>
        <w:t>contact and report configurations</w:t>
      </w:r>
      <w:r>
        <w:rPr>
          <w:szCs w:val="20"/>
        </w:rPr>
        <w:t>, and frequent re-sends</w:t>
      </w:r>
      <w:r w:rsidRPr="009206BA">
        <w:rPr>
          <w:szCs w:val="20"/>
        </w:rPr>
        <w:t xml:space="preserve">. These repetitive tasks—along with the corrective work that follows minor data discrepancies—inflate otherwise avoidable effort and consume time that could be redirected toward proactive vendor engagement. This cycle also introduces the risk of version drift, when teams or vendors reference slightly different report iterations and </w:t>
      </w:r>
      <w:r>
        <w:rPr>
          <w:szCs w:val="20"/>
        </w:rPr>
        <w:t>data</w:t>
      </w:r>
      <w:r w:rsidRPr="009206BA">
        <w:rPr>
          <w:szCs w:val="20"/>
        </w:rPr>
        <w:t>.</w:t>
      </w:r>
    </w:p>
    <w:p w14:paraId="38A292CC" w14:textId="2C980065" w:rsidR="009206BA" w:rsidRDefault="009206BA" w:rsidP="009206BA">
      <w:pPr>
        <w:spacing w:line="240" w:lineRule="auto"/>
        <w:rPr>
          <w:szCs w:val="20"/>
        </w:rPr>
      </w:pPr>
      <w:r w:rsidRPr="009206BA">
        <w:rPr>
          <w:szCs w:val="20"/>
        </w:rPr>
        <w:t xml:space="preserve">VDS currently provides on-demand dashboards for a smaller premium vendor group. Its session-based model is effective for deep exploration and security </w:t>
      </w:r>
      <w:proofErr w:type="gramStart"/>
      <w:r w:rsidRPr="009206BA">
        <w:rPr>
          <w:szCs w:val="20"/>
        </w:rPr>
        <w:t>isolation, yet</w:t>
      </w:r>
      <w:proofErr w:type="gramEnd"/>
      <w:r w:rsidRPr="009206BA">
        <w:rPr>
          <w:szCs w:val="20"/>
        </w:rPr>
        <w:t xml:space="preserve"> scales poorly to thousands of concurrent vendors and complicates historical comparisons.</w:t>
      </w:r>
      <w:r>
        <w:rPr>
          <w:szCs w:val="20"/>
        </w:rPr>
        <w:t xml:space="preserve"> </w:t>
      </w:r>
      <w:r w:rsidRPr="009206BA">
        <w:rPr>
          <w:szCs w:val="20"/>
        </w:rPr>
        <w:t>In parallel, the Vendor Compliance (VC) team and Replen Tech are developing a portal on CPH. This presents a timely opportunity to align CPFR modernization with an existing, funded initiative. Through co-development, CPFR contributes governance and data design, while leveraging Replen Tech’s product management, engineering, and EDS security resources.</w:t>
      </w:r>
    </w:p>
    <w:p w14:paraId="2B82EAED" w14:textId="3415852B" w:rsidR="00EB609A" w:rsidRPr="00EB609A" w:rsidRDefault="00EB609A" w:rsidP="009206BA">
      <w:pPr>
        <w:pStyle w:val="Heading1"/>
      </w:pPr>
      <w:r w:rsidRPr="00EB609A">
        <w:t>Entitlement Overview — Classes of Benefit</w:t>
      </w:r>
    </w:p>
    <w:p w14:paraId="25CFC962" w14:textId="7B5F990B" w:rsidR="009206BA" w:rsidRPr="009206BA" w:rsidRDefault="009206BA" w:rsidP="004D55C3">
      <w:pPr>
        <w:pStyle w:val="Heading2"/>
      </w:pPr>
      <w:r w:rsidRPr="009206BA">
        <w:t>1. Operational Cohesion and Efficiency</w:t>
      </w:r>
    </w:p>
    <w:p w14:paraId="7359CA2F" w14:textId="03FD7721" w:rsidR="009206BA" w:rsidRPr="009206BA" w:rsidRDefault="009206BA" w:rsidP="009206BA">
      <w:pPr>
        <w:spacing w:line="240" w:lineRule="auto"/>
        <w:rPr>
          <w:szCs w:val="20"/>
        </w:rPr>
      </w:pPr>
      <w:r w:rsidRPr="009206BA">
        <w:rPr>
          <w:szCs w:val="20"/>
        </w:rPr>
        <w:t xml:space="preserve">A unified platform eliminates redundant </w:t>
      </w:r>
      <w:r w:rsidR="004120ED">
        <w:rPr>
          <w:szCs w:val="20"/>
        </w:rPr>
        <w:t>action</w:t>
      </w:r>
      <w:r w:rsidRPr="009206BA">
        <w:rPr>
          <w:szCs w:val="20"/>
        </w:rPr>
        <w:t xml:space="preserve"> and manual reconciliations. Internal teams and vendors will draw from the same governed data sources, ensuring consistent interpretation of fill rate, PDP, forecast, and other key metrics. Automated refresh and role-based access</w:t>
      </w:r>
      <w:r w:rsidR="00120C86">
        <w:rPr>
          <w:szCs w:val="20"/>
        </w:rPr>
        <w:t xml:space="preserve"> that </w:t>
      </w:r>
      <w:r w:rsidRPr="009206BA">
        <w:rPr>
          <w:szCs w:val="20"/>
        </w:rPr>
        <w:t>ensur</w:t>
      </w:r>
      <w:r w:rsidR="00120C86">
        <w:rPr>
          <w:szCs w:val="20"/>
        </w:rPr>
        <w:t>es</w:t>
      </w:r>
      <w:r w:rsidRPr="009206BA">
        <w:rPr>
          <w:szCs w:val="20"/>
        </w:rPr>
        <w:t xml:space="preserve"> each vendor sees only their own data</w:t>
      </w:r>
      <w:r w:rsidR="00120C86">
        <w:rPr>
          <w:szCs w:val="20"/>
        </w:rPr>
        <w:t xml:space="preserve"> </w:t>
      </w:r>
      <w:r w:rsidRPr="009206BA">
        <w:rPr>
          <w:szCs w:val="20"/>
        </w:rPr>
        <w:t xml:space="preserve">replace </w:t>
      </w:r>
      <w:r w:rsidR="000D00FC">
        <w:rPr>
          <w:szCs w:val="20"/>
        </w:rPr>
        <w:t>brittle</w:t>
      </w:r>
      <w:r w:rsidRPr="009206BA">
        <w:rPr>
          <w:szCs w:val="20"/>
        </w:rPr>
        <w:t xml:space="preserve"> report assembly for both outbound report</w:t>
      </w:r>
      <w:r w:rsidR="004120ED">
        <w:rPr>
          <w:szCs w:val="20"/>
        </w:rPr>
        <w:t>s</w:t>
      </w:r>
      <w:r w:rsidRPr="009206BA">
        <w:rPr>
          <w:szCs w:val="20"/>
        </w:rPr>
        <w:t xml:space="preserve"> and internal </w:t>
      </w:r>
      <w:r w:rsidR="004120ED">
        <w:rPr>
          <w:szCs w:val="20"/>
        </w:rPr>
        <w:t>analyses</w:t>
      </w:r>
      <w:r w:rsidRPr="009206BA">
        <w:rPr>
          <w:szCs w:val="20"/>
        </w:rPr>
        <w:t>.</w:t>
      </w:r>
      <w:r>
        <w:rPr>
          <w:szCs w:val="20"/>
        </w:rPr>
        <w:t xml:space="preserve"> </w:t>
      </w:r>
      <w:r w:rsidR="00120C86" w:rsidRPr="00120C86">
        <w:rPr>
          <w:szCs w:val="20"/>
        </w:rPr>
        <w:t>Survey evidence documents 1-5 hours per ISM</w:t>
      </w:r>
      <w:r w:rsidR="00120C86">
        <w:rPr>
          <w:szCs w:val="20"/>
        </w:rPr>
        <w:t>/</w:t>
      </w:r>
      <w:r w:rsidR="00120C86" w:rsidRPr="00120C86">
        <w:rPr>
          <w:szCs w:val="20"/>
        </w:rPr>
        <w:t>week spent on manual data prep and error correction—capacity that will be redirected to</w:t>
      </w:r>
      <w:r w:rsidR="00120C86">
        <w:rPr>
          <w:szCs w:val="20"/>
        </w:rPr>
        <w:t xml:space="preserve"> planning, root-cause analysis, and</w:t>
      </w:r>
      <w:r w:rsidR="00120C86" w:rsidRPr="00120C86">
        <w:rPr>
          <w:szCs w:val="20"/>
        </w:rPr>
        <w:t xml:space="preserve"> strategic vendor engagement.</w:t>
      </w:r>
    </w:p>
    <w:p w14:paraId="78FFB870" w14:textId="508877DC" w:rsidR="009206BA" w:rsidRPr="009206BA" w:rsidRDefault="009206BA" w:rsidP="004D55C3">
      <w:pPr>
        <w:pStyle w:val="Heading2"/>
      </w:pPr>
      <w:r w:rsidRPr="009206BA">
        <w:t>2. Vendor Enablement and Partnership Expansion</w:t>
      </w:r>
    </w:p>
    <w:p w14:paraId="441A4159" w14:textId="4FF0B9F8" w:rsidR="009206BA" w:rsidRPr="009206BA" w:rsidRDefault="009206BA" w:rsidP="009206BA">
      <w:pPr>
        <w:spacing w:line="240" w:lineRule="auto"/>
        <w:rPr>
          <w:szCs w:val="20"/>
        </w:rPr>
      </w:pPr>
      <w:r w:rsidRPr="009206BA">
        <w:rPr>
          <w:szCs w:val="20"/>
        </w:rPr>
        <w:t xml:space="preserve">Within CPH, vendors gain continuous, self-service access to accurate daily data filtered to their specific SKUs. They will also be able to update contact details and communication preferences </w:t>
      </w:r>
      <w:proofErr w:type="gramStart"/>
      <w:r w:rsidRPr="009206BA">
        <w:rPr>
          <w:szCs w:val="20"/>
        </w:rPr>
        <w:t>directly—streamlining</w:t>
      </w:r>
      <w:proofErr w:type="gramEnd"/>
      <w:r w:rsidRPr="009206BA">
        <w:rPr>
          <w:szCs w:val="20"/>
        </w:rPr>
        <w:t xml:space="preserve"> simple administrative tasks without changing oversight or control by ISMs or leadership.</w:t>
      </w:r>
      <w:r>
        <w:rPr>
          <w:szCs w:val="20"/>
        </w:rPr>
        <w:t xml:space="preserve"> </w:t>
      </w:r>
      <w:r w:rsidRPr="009206BA">
        <w:rPr>
          <w:szCs w:val="20"/>
        </w:rPr>
        <w:t>This model supports thousands of concurrent vendor tenants and provides a scalable path toward future API connectivity. The result is stronger collaboration, faster issue resolution, and smoother onboarding of new vendor partners—reducing friction so ISMs can focus on substantive planning conversations rather than routine data delivery.</w:t>
      </w:r>
    </w:p>
    <w:p w14:paraId="318474D2" w14:textId="4C131C42" w:rsidR="009206BA" w:rsidRPr="009206BA" w:rsidRDefault="009206BA" w:rsidP="004D55C3">
      <w:pPr>
        <w:pStyle w:val="Heading2"/>
      </w:pPr>
      <w:r w:rsidRPr="009206BA">
        <w:lastRenderedPageBreak/>
        <w:t>3. Enterprise Data Alignment and Future Readiness</w:t>
      </w:r>
    </w:p>
    <w:p w14:paraId="1D012DBB" w14:textId="3699C616" w:rsidR="009206BA" w:rsidRPr="009206BA" w:rsidRDefault="009206BA" w:rsidP="009206BA">
      <w:pPr>
        <w:spacing w:line="240" w:lineRule="auto"/>
        <w:rPr>
          <w:szCs w:val="20"/>
        </w:rPr>
      </w:pPr>
      <w:r w:rsidRPr="009206BA">
        <w:rPr>
          <w:szCs w:val="20"/>
        </w:rPr>
        <w:t>The platform establishes a single governed source of CPFR data shared across CPFR, VC, Merch, and related teams. Standardized definitions and lineage reduce planning risk and eliminate conflicting extracts. Daily immutable snapshots ensure consistency, auditability, and historical traceability.</w:t>
      </w:r>
      <w:r w:rsidR="000D00FC">
        <w:rPr>
          <w:szCs w:val="20"/>
        </w:rPr>
        <w:t xml:space="preserve"> To support additions or updates to collaborative data, changes can be made at the single source, flowing immediately and uniformly to all users. </w:t>
      </w:r>
      <w:r w:rsidRPr="009206BA">
        <w:rPr>
          <w:szCs w:val="20"/>
        </w:rPr>
        <w:t>The structured design</w:t>
      </w:r>
      <w:r w:rsidR="000D00FC">
        <w:rPr>
          <w:szCs w:val="20"/>
        </w:rPr>
        <w:t xml:space="preserve"> also</w:t>
      </w:r>
      <w:r w:rsidRPr="009206BA">
        <w:rPr>
          <w:szCs w:val="20"/>
        </w:rPr>
        <w:t xml:space="preserve"> lays the groundwork for advanced analytics, machine learning, and AI-driven automation, minimizing the preparation traditionally required. What began as operational reporting becomes a durable enterprise asset supporting Chewy’s digital evolution.</w:t>
      </w:r>
    </w:p>
    <w:p w14:paraId="3DDBDCCA" w14:textId="4E5F5E7E" w:rsidR="009206BA" w:rsidRPr="009206BA" w:rsidRDefault="009206BA" w:rsidP="004D55C3">
      <w:pPr>
        <w:pStyle w:val="Heading2"/>
      </w:pPr>
      <w:r w:rsidRPr="009206BA">
        <w:t>4. Strategic Growth Enablement</w:t>
      </w:r>
    </w:p>
    <w:p w14:paraId="18CF104E" w14:textId="75E1E43B" w:rsidR="009206BA" w:rsidRPr="009206BA" w:rsidRDefault="009206BA" w:rsidP="009206BA">
      <w:pPr>
        <w:spacing w:line="240" w:lineRule="auto"/>
        <w:rPr>
          <w:szCs w:val="20"/>
        </w:rPr>
      </w:pPr>
      <w:r w:rsidRPr="009206BA">
        <w:rPr>
          <w:szCs w:val="20"/>
        </w:rPr>
        <w:t>By combining broad vendor access with governed data consistency, Chewy extends data-driven collaboration across its entire vendor network while maintaining VDS’s role for advanced analytics. The same architecture can readily expand to include Vendor Compliance (VC) and related datasets, providing a unified environment for vendor-specific information.</w:t>
      </w:r>
      <w:r>
        <w:rPr>
          <w:szCs w:val="20"/>
        </w:rPr>
        <w:t xml:space="preserve"> </w:t>
      </w:r>
      <w:r w:rsidRPr="009206BA">
        <w:rPr>
          <w:szCs w:val="20"/>
        </w:rPr>
        <w:t xml:space="preserve">This shared platform reduces duplication, simplifies vendor engagement, and establishes a foundation for future cross-program dashboards and enterprise-wide visibility. </w:t>
      </w:r>
    </w:p>
    <w:p w14:paraId="033DD847" w14:textId="501EEA4B" w:rsidR="00EB609A" w:rsidRPr="009206BA" w:rsidRDefault="00EB609A" w:rsidP="004D55C3">
      <w:pPr>
        <w:pStyle w:val="Heading3"/>
      </w:pPr>
      <w:r w:rsidRPr="009206BA">
        <w:t>Quantitative Snapshot</w:t>
      </w:r>
    </w:p>
    <w:tbl>
      <w:tblPr>
        <w:tblW w:w="0" w:type="auto"/>
        <w:tblCellSpacing w:w="15" w:type="dxa"/>
        <w:tblLayout w:type="fixed"/>
        <w:tblCellMar>
          <w:left w:w="29" w:type="dxa"/>
          <w:right w:w="15" w:type="dxa"/>
        </w:tblCellMar>
        <w:tblLook w:val="04A0" w:firstRow="1" w:lastRow="0" w:firstColumn="1" w:lastColumn="0" w:noHBand="0" w:noVBand="1"/>
      </w:tblPr>
      <w:tblGrid>
        <w:gridCol w:w="2690"/>
        <w:gridCol w:w="3380"/>
        <w:gridCol w:w="1846"/>
        <w:gridCol w:w="2884"/>
      </w:tblGrid>
      <w:tr w:rsidR="00EB609A" w:rsidRPr="00EB609A" w14:paraId="1157B756" w14:textId="77777777" w:rsidTr="00F3243C">
        <w:trPr>
          <w:tblHeader/>
          <w:tblCellSpacing w:w="15" w:type="dxa"/>
        </w:trPr>
        <w:tc>
          <w:tcPr>
            <w:tcW w:w="2645" w:type="dxa"/>
            <w:shd w:val="clear" w:color="auto" w:fill="4C94D8" w:themeFill="text2" w:themeFillTint="80"/>
            <w:vAlign w:val="center"/>
            <w:hideMark/>
          </w:tcPr>
          <w:p w14:paraId="769ECC6B"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Benefit Category</w:t>
            </w:r>
          </w:p>
        </w:tc>
        <w:tc>
          <w:tcPr>
            <w:tcW w:w="3350" w:type="dxa"/>
            <w:shd w:val="clear" w:color="auto" w:fill="4C94D8" w:themeFill="text2" w:themeFillTint="80"/>
            <w:vAlign w:val="center"/>
            <w:hideMark/>
          </w:tcPr>
          <w:p w14:paraId="451520A8"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Estimation Basis</w:t>
            </w:r>
          </w:p>
        </w:tc>
        <w:tc>
          <w:tcPr>
            <w:tcW w:w="1816" w:type="dxa"/>
            <w:shd w:val="clear" w:color="auto" w:fill="4C94D8" w:themeFill="text2" w:themeFillTint="80"/>
            <w:vAlign w:val="center"/>
            <w:hideMark/>
          </w:tcPr>
          <w:p w14:paraId="56929A48" w14:textId="74D76B91" w:rsidR="00EB609A" w:rsidRPr="00EB609A" w:rsidRDefault="00F3243C" w:rsidP="003C6BE6">
            <w:pPr>
              <w:spacing w:after="60"/>
              <w:rPr>
                <w:b/>
                <w:bCs/>
                <w:color w:val="FFFFFF" w:themeColor="background1"/>
                <w:szCs w:val="20"/>
              </w:rPr>
            </w:pPr>
            <w:r w:rsidRPr="00F3243C">
              <w:rPr>
                <w:b/>
                <w:bCs/>
                <w:color w:val="FFFFFF" w:themeColor="background1"/>
                <w:szCs w:val="20"/>
              </w:rPr>
              <w:t xml:space="preserve">Appx. </w:t>
            </w:r>
            <w:r w:rsidR="00EB609A" w:rsidRPr="00EB609A">
              <w:rPr>
                <w:b/>
                <w:bCs/>
                <w:color w:val="FFFFFF" w:themeColor="background1"/>
                <w:szCs w:val="20"/>
              </w:rPr>
              <w:t>1st-Yr Value</w:t>
            </w:r>
          </w:p>
        </w:tc>
        <w:tc>
          <w:tcPr>
            <w:tcW w:w="2839" w:type="dxa"/>
            <w:shd w:val="clear" w:color="auto" w:fill="4C94D8" w:themeFill="text2" w:themeFillTint="80"/>
            <w:vAlign w:val="center"/>
            <w:hideMark/>
          </w:tcPr>
          <w:p w14:paraId="5135A069" w14:textId="6F60E7BC" w:rsidR="00EB609A" w:rsidRPr="00EB609A" w:rsidRDefault="00EB609A" w:rsidP="003C6BE6">
            <w:pPr>
              <w:spacing w:after="60"/>
              <w:rPr>
                <w:b/>
                <w:bCs/>
                <w:color w:val="FFFFFF" w:themeColor="background1"/>
                <w:szCs w:val="20"/>
              </w:rPr>
            </w:pPr>
            <w:r w:rsidRPr="00EB609A">
              <w:rPr>
                <w:b/>
                <w:bCs/>
                <w:color w:val="FFFFFF" w:themeColor="background1"/>
                <w:szCs w:val="20"/>
              </w:rPr>
              <w:t>Key Assumption</w:t>
            </w:r>
            <w:r w:rsidR="00F3243C">
              <w:rPr>
                <w:b/>
                <w:bCs/>
                <w:color w:val="FFFFFF" w:themeColor="background1"/>
                <w:szCs w:val="20"/>
              </w:rPr>
              <w:t>(s)</w:t>
            </w:r>
          </w:p>
        </w:tc>
      </w:tr>
      <w:tr w:rsidR="00EB609A" w:rsidRPr="00EB609A" w14:paraId="07F39D83" w14:textId="77777777" w:rsidTr="00F755E2">
        <w:trPr>
          <w:tblCellSpacing w:w="15" w:type="dxa"/>
        </w:trPr>
        <w:tc>
          <w:tcPr>
            <w:tcW w:w="2645" w:type="dxa"/>
            <w:tcBorders>
              <w:bottom w:val="dotted" w:sz="4" w:space="0" w:color="0070C0"/>
            </w:tcBorders>
            <w:hideMark/>
          </w:tcPr>
          <w:p w14:paraId="6D2113E3" w14:textId="77777777" w:rsidR="00EB609A" w:rsidRPr="00EB609A" w:rsidRDefault="00EB609A" w:rsidP="003C6BE6">
            <w:pPr>
              <w:spacing w:after="0"/>
              <w:rPr>
                <w:szCs w:val="20"/>
              </w:rPr>
            </w:pPr>
            <w:r w:rsidRPr="00EB609A">
              <w:rPr>
                <w:szCs w:val="20"/>
              </w:rPr>
              <w:t>Operational Cohesion &amp; Efficiency</w:t>
            </w:r>
          </w:p>
        </w:tc>
        <w:tc>
          <w:tcPr>
            <w:tcW w:w="3350" w:type="dxa"/>
            <w:tcBorders>
              <w:bottom w:val="dotted" w:sz="4" w:space="0" w:color="0070C0"/>
            </w:tcBorders>
            <w:hideMark/>
          </w:tcPr>
          <w:p w14:paraId="2904EDC4" w14:textId="67EA209E" w:rsidR="00EB609A" w:rsidRPr="00EB609A" w:rsidRDefault="004120ED" w:rsidP="003C6BE6">
            <w:pPr>
              <w:spacing w:after="0"/>
              <w:rPr>
                <w:szCs w:val="20"/>
              </w:rPr>
            </w:pPr>
            <w:r>
              <w:rPr>
                <w:szCs w:val="20"/>
              </w:rPr>
              <w:t>36</w:t>
            </w:r>
            <w:r w:rsidR="00EB609A" w:rsidRPr="00EB609A">
              <w:rPr>
                <w:szCs w:val="20"/>
              </w:rPr>
              <w:t xml:space="preserve"> team members × </w:t>
            </w:r>
            <w:r>
              <w:rPr>
                <w:szCs w:val="20"/>
              </w:rPr>
              <w:t>2</w:t>
            </w:r>
            <w:r w:rsidR="00EB609A" w:rsidRPr="00EB609A">
              <w:rPr>
                <w:szCs w:val="20"/>
              </w:rPr>
              <w:t xml:space="preserve"> </w:t>
            </w:r>
            <w:r w:rsidR="00AF2B5A">
              <w:rPr>
                <w:szCs w:val="20"/>
              </w:rPr>
              <w:t xml:space="preserve">avg </w:t>
            </w:r>
            <w:r w:rsidR="00EB609A" w:rsidRPr="00EB609A">
              <w:rPr>
                <w:szCs w:val="20"/>
              </w:rPr>
              <w:t>h</w:t>
            </w:r>
            <w:r w:rsidR="00FB2CDB">
              <w:rPr>
                <w:szCs w:val="20"/>
              </w:rPr>
              <w:t>ou</w:t>
            </w:r>
            <w:r w:rsidR="00EB609A" w:rsidRPr="00EB609A">
              <w:rPr>
                <w:szCs w:val="20"/>
              </w:rPr>
              <w:t>rs/week reallocated to higher-value work</w:t>
            </w:r>
          </w:p>
        </w:tc>
        <w:tc>
          <w:tcPr>
            <w:tcW w:w="1816" w:type="dxa"/>
            <w:tcBorders>
              <w:bottom w:val="dotted" w:sz="4" w:space="0" w:color="0070C0"/>
            </w:tcBorders>
            <w:hideMark/>
          </w:tcPr>
          <w:p w14:paraId="3D224D3F" w14:textId="1352BE0D" w:rsidR="00EB609A" w:rsidRPr="00EB609A" w:rsidRDefault="00EB609A" w:rsidP="003C6BE6">
            <w:pPr>
              <w:spacing w:after="0"/>
              <w:rPr>
                <w:szCs w:val="20"/>
              </w:rPr>
            </w:pPr>
            <w:r w:rsidRPr="00EB609A">
              <w:rPr>
                <w:b/>
                <w:bCs/>
                <w:szCs w:val="20"/>
              </w:rPr>
              <w:t>$ 6</w:t>
            </w:r>
            <w:r w:rsidR="0017095A">
              <w:rPr>
                <w:b/>
                <w:bCs/>
                <w:szCs w:val="20"/>
              </w:rPr>
              <w:t>08</w:t>
            </w:r>
            <w:r w:rsidRPr="00EB609A">
              <w:rPr>
                <w:b/>
                <w:bCs/>
                <w:szCs w:val="20"/>
              </w:rPr>
              <w:t xml:space="preserve"> k</w:t>
            </w:r>
          </w:p>
        </w:tc>
        <w:tc>
          <w:tcPr>
            <w:tcW w:w="2839" w:type="dxa"/>
            <w:tcBorders>
              <w:bottom w:val="dotted" w:sz="4" w:space="0" w:color="0070C0"/>
            </w:tcBorders>
            <w:hideMark/>
          </w:tcPr>
          <w:p w14:paraId="67FA49F1" w14:textId="77777777" w:rsidR="00EB609A" w:rsidRPr="00EB609A" w:rsidRDefault="00EB609A" w:rsidP="003C6BE6">
            <w:pPr>
              <w:spacing w:after="0"/>
              <w:rPr>
                <w:szCs w:val="20"/>
              </w:rPr>
            </w:pPr>
            <w:r w:rsidRPr="00EB609A">
              <w:rPr>
                <w:szCs w:val="20"/>
              </w:rPr>
              <w:t>Capacity redirected from manual prep to analysis</w:t>
            </w:r>
          </w:p>
        </w:tc>
      </w:tr>
      <w:tr w:rsidR="00EB609A" w:rsidRPr="00EB609A" w14:paraId="79ACD1F8" w14:textId="77777777" w:rsidTr="00F755E2">
        <w:trPr>
          <w:tblCellSpacing w:w="15" w:type="dxa"/>
        </w:trPr>
        <w:tc>
          <w:tcPr>
            <w:tcW w:w="2645" w:type="dxa"/>
            <w:tcBorders>
              <w:top w:val="dotted" w:sz="4" w:space="0" w:color="0070C0"/>
              <w:bottom w:val="dotted" w:sz="4" w:space="0" w:color="0070C0"/>
            </w:tcBorders>
            <w:hideMark/>
          </w:tcPr>
          <w:p w14:paraId="27EE60D7" w14:textId="77777777" w:rsidR="00EB609A" w:rsidRPr="00EB609A" w:rsidRDefault="00EB609A" w:rsidP="003C6BE6">
            <w:pPr>
              <w:spacing w:after="0"/>
              <w:rPr>
                <w:szCs w:val="20"/>
              </w:rPr>
            </w:pPr>
            <w:r w:rsidRPr="00EB609A">
              <w:rPr>
                <w:szCs w:val="20"/>
              </w:rPr>
              <w:t>Vendor Enablement &amp; Partnership Expansion</w:t>
            </w:r>
          </w:p>
        </w:tc>
        <w:tc>
          <w:tcPr>
            <w:tcW w:w="3350" w:type="dxa"/>
            <w:tcBorders>
              <w:top w:val="dotted" w:sz="4" w:space="0" w:color="0070C0"/>
              <w:bottom w:val="dotted" w:sz="4" w:space="0" w:color="0070C0"/>
            </w:tcBorders>
            <w:hideMark/>
          </w:tcPr>
          <w:p w14:paraId="7F05DF0F" w14:textId="7D26B689" w:rsidR="00EB609A" w:rsidRPr="00EB609A" w:rsidRDefault="00AF2B5A" w:rsidP="003C6BE6">
            <w:pPr>
              <w:spacing w:after="0"/>
              <w:rPr>
                <w:szCs w:val="20"/>
              </w:rPr>
            </w:pPr>
            <w:r>
              <w:rPr>
                <w:szCs w:val="20"/>
              </w:rPr>
              <w:t xml:space="preserve">Faster, more frequent and more actionable vendor contribution </w:t>
            </w:r>
          </w:p>
        </w:tc>
        <w:tc>
          <w:tcPr>
            <w:tcW w:w="1816" w:type="dxa"/>
            <w:tcBorders>
              <w:top w:val="dotted" w:sz="4" w:space="0" w:color="0070C0"/>
              <w:bottom w:val="dotted" w:sz="4" w:space="0" w:color="0070C0"/>
            </w:tcBorders>
            <w:hideMark/>
          </w:tcPr>
          <w:p w14:paraId="1F4B432E" w14:textId="40BD3552" w:rsidR="00EB609A" w:rsidRPr="00EB609A" w:rsidRDefault="00EB609A" w:rsidP="003C6BE6">
            <w:pPr>
              <w:spacing w:after="0"/>
              <w:rPr>
                <w:szCs w:val="20"/>
              </w:rPr>
            </w:pPr>
            <w:r w:rsidRPr="00EB609A">
              <w:rPr>
                <w:b/>
                <w:bCs/>
                <w:szCs w:val="20"/>
              </w:rPr>
              <w:t xml:space="preserve">$ </w:t>
            </w:r>
            <w:r w:rsidR="00AF2B5A">
              <w:rPr>
                <w:b/>
                <w:bCs/>
                <w:szCs w:val="20"/>
              </w:rPr>
              <w:t>458</w:t>
            </w:r>
            <w:r w:rsidRPr="00EB609A">
              <w:rPr>
                <w:b/>
                <w:bCs/>
                <w:szCs w:val="20"/>
              </w:rPr>
              <w:t xml:space="preserve"> k</w:t>
            </w:r>
          </w:p>
        </w:tc>
        <w:tc>
          <w:tcPr>
            <w:tcW w:w="2839" w:type="dxa"/>
            <w:tcBorders>
              <w:top w:val="dotted" w:sz="4" w:space="0" w:color="0070C0"/>
              <w:bottom w:val="dotted" w:sz="4" w:space="0" w:color="0070C0"/>
            </w:tcBorders>
            <w:hideMark/>
          </w:tcPr>
          <w:p w14:paraId="255CF196" w14:textId="77777777" w:rsidR="00EB609A" w:rsidRPr="00EB609A" w:rsidRDefault="00EB609A" w:rsidP="003C6BE6">
            <w:pPr>
              <w:spacing w:after="0"/>
              <w:rPr>
                <w:szCs w:val="20"/>
              </w:rPr>
            </w:pPr>
            <w:r w:rsidRPr="00EB609A">
              <w:rPr>
                <w:szCs w:val="20"/>
              </w:rPr>
              <w:t>Faster vendor decisions, reduced friction</w:t>
            </w:r>
          </w:p>
        </w:tc>
      </w:tr>
      <w:tr w:rsidR="00EB609A" w:rsidRPr="00EB609A" w14:paraId="2C5B02D7" w14:textId="77777777" w:rsidTr="00F755E2">
        <w:trPr>
          <w:tblCellSpacing w:w="15" w:type="dxa"/>
        </w:trPr>
        <w:tc>
          <w:tcPr>
            <w:tcW w:w="2645" w:type="dxa"/>
            <w:tcBorders>
              <w:top w:val="dotted" w:sz="4" w:space="0" w:color="0070C0"/>
              <w:bottom w:val="dotted" w:sz="4" w:space="0" w:color="0070C0"/>
            </w:tcBorders>
            <w:hideMark/>
          </w:tcPr>
          <w:p w14:paraId="7600060F" w14:textId="77777777" w:rsidR="00EB609A" w:rsidRPr="00EB609A" w:rsidRDefault="00EB609A" w:rsidP="003C6BE6">
            <w:pPr>
              <w:spacing w:after="0"/>
              <w:rPr>
                <w:szCs w:val="20"/>
              </w:rPr>
            </w:pPr>
            <w:r w:rsidRPr="00EB609A">
              <w:rPr>
                <w:szCs w:val="20"/>
              </w:rPr>
              <w:t>Enterprise Data Alignment &amp; Future Readiness</w:t>
            </w:r>
          </w:p>
        </w:tc>
        <w:tc>
          <w:tcPr>
            <w:tcW w:w="3350" w:type="dxa"/>
            <w:tcBorders>
              <w:top w:val="dotted" w:sz="4" w:space="0" w:color="0070C0"/>
              <w:bottom w:val="dotted" w:sz="4" w:space="0" w:color="0070C0"/>
            </w:tcBorders>
            <w:hideMark/>
          </w:tcPr>
          <w:p w14:paraId="79F56E19" w14:textId="4A2D8E98" w:rsidR="00EB609A" w:rsidRPr="00EB609A" w:rsidRDefault="00EB609A" w:rsidP="003C6BE6">
            <w:pPr>
              <w:spacing w:after="0"/>
              <w:rPr>
                <w:szCs w:val="20"/>
              </w:rPr>
            </w:pPr>
            <w:r w:rsidRPr="00EB609A">
              <w:rPr>
                <w:szCs w:val="20"/>
              </w:rPr>
              <w:t>Fewer data inconsistencies</w:t>
            </w:r>
            <w:r w:rsidR="00EA24EF">
              <w:rPr>
                <w:szCs w:val="20"/>
              </w:rPr>
              <w:t xml:space="preserve">, </w:t>
            </w:r>
            <w:r w:rsidRPr="00EB609A">
              <w:rPr>
                <w:szCs w:val="20"/>
              </w:rPr>
              <w:t>rework</w:t>
            </w:r>
            <w:r w:rsidR="00EA24EF">
              <w:rPr>
                <w:szCs w:val="20"/>
              </w:rPr>
              <w:t>, or avoidable costs</w:t>
            </w:r>
          </w:p>
        </w:tc>
        <w:tc>
          <w:tcPr>
            <w:tcW w:w="1816" w:type="dxa"/>
            <w:tcBorders>
              <w:top w:val="dotted" w:sz="4" w:space="0" w:color="0070C0"/>
              <w:bottom w:val="dotted" w:sz="4" w:space="0" w:color="0070C0"/>
            </w:tcBorders>
            <w:hideMark/>
          </w:tcPr>
          <w:p w14:paraId="578DB0A3" w14:textId="16FD549A" w:rsidR="00EB609A" w:rsidRPr="00EB609A" w:rsidRDefault="00EB609A" w:rsidP="003C6BE6">
            <w:pPr>
              <w:spacing w:after="0"/>
              <w:rPr>
                <w:szCs w:val="20"/>
              </w:rPr>
            </w:pPr>
            <w:r w:rsidRPr="00EB609A">
              <w:rPr>
                <w:b/>
                <w:bCs/>
                <w:szCs w:val="20"/>
              </w:rPr>
              <w:t xml:space="preserve">$ </w:t>
            </w:r>
            <w:r w:rsidR="00B426F4">
              <w:rPr>
                <w:b/>
                <w:bCs/>
                <w:szCs w:val="20"/>
              </w:rPr>
              <w:t>339</w:t>
            </w:r>
            <w:r w:rsidRPr="00EB609A">
              <w:rPr>
                <w:b/>
                <w:bCs/>
                <w:szCs w:val="20"/>
              </w:rPr>
              <w:t xml:space="preserve"> k</w:t>
            </w:r>
          </w:p>
        </w:tc>
        <w:tc>
          <w:tcPr>
            <w:tcW w:w="2839" w:type="dxa"/>
            <w:tcBorders>
              <w:top w:val="dotted" w:sz="4" w:space="0" w:color="0070C0"/>
              <w:bottom w:val="dotted" w:sz="4" w:space="0" w:color="0070C0"/>
            </w:tcBorders>
            <w:hideMark/>
          </w:tcPr>
          <w:p w14:paraId="71BE4B48" w14:textId="77777777" w:rsidR="00EB609A" w:rsidRPr="00EB609A" w:rsidRDefault="00EB609A" w:rsidP="003C6BE6">
            <w:pPr>
              <w:spacing w:after="0"/>
              <w:rPr>
                <w:szCs w:val="20"/>
              </w:rPr>
            </w:pPr>
            <w:r w:rsidRPr="00EB609A">
              <w:rPr>
                <w:szCs w:val="20"/>
              </w:rPr>
              <w:t>Improved accuracy across teams</w:t>
            </w:r>
          </w:p>
        </w:tc>
      </w:tr>
      <w:tr w:rsidR="00F755E2" w:rsidRPr="00EB609A" w14:paraId="664A7250" w14:textId="77777777" w:rsidTr="00F755E2">
        <w:trPr>
          <w:tblCellSpacing w:w="15" w:type="dxa"/>
        </w:trPr>
        <w:tc>
          <w:tcPr>
            <w:tcW w:w="2645" w:type="dxa"/>
            <w:tcBorders>
              <w:top w:val="dotted" w:sz="4" w:space="0" w:color="0070C0"/>
            </w:tcBorders>
            <w:hideMark/>
          </w:tcPr>
          <w:p w14:paraId="3A88CB59" w14:textId="77777777" w:rsidR="00EB609A" w:rsidRPr="002565C9" w:rsidRDefault="00EB609A" w:rsidP="003C6BE6">
            <w:pPr>
              <w:spacing w:after="0"/>
              <w:rPr>
                <w:i/>
                <w:iCs/>
                <w:color w:val="7F7F7F" w:themeColor="text1" w:themeTint="80"/>
                <w:szCs w:val="20"/>
              </w:rPr>
            </w:pPr>
            <w:r w:rsidRPr="002565C9">
              <w:rPr>
                <w:i/>
                <w:iCs/>
                <w:color w:val="7F7F7F" w:themeColor="text1" w:themeTint="80"/>
                <w:szCs w:val="20"/>
              </w:rPr>
              <w:t>Strategic Growth Enablement</w:t>
            </w:r>
          </w:p>
        </w:tc>
        <w:tc>
          <w:tcPr>
            <w:tcW w:w="3350" w:type="dxa"/>
            <w:tcBorders>
              <w:top w:val="dotted" w:sz="4" w:space="0" w:color="0070C0"/>
            </w:tcBorders>
            <w:hideMark/>
          </w:tcPr>
          <w:p w14:paraId="2CEDD59F" w14:textId="77777777" w:rsidR="00EB609A" w:rsidRPr="002565C9" w:rsidRDefault="00EB609A" w:rsidP="003C6BE6">
            <w:pPr>
              <w:spacing w:after="0"/>
              <w:rPr>
                <w:i/>
                <w:iCs/>
                <w:color w:val="7F7F7F" w:themeColor="text1" w:themeTint="80"/>
                <w:szCs w:val="20"/>
              </w:rPr>
            </w:pPr>
            <w:r w:rsidRPr="002565C9">
              <w:rPr>
                <w:i/>
                <w:iCs/>
                <w:color w:val="7F7F7F" w:themeColor="text1" w:themeTint="80"/>
                <w:szCs w:val="20"/>
              </w:rPr>
              <w:t>Synergy benefits and shared infrastructure reuse</w:t>
            </w:r>
          </w:p>
        </w:tc>
        <w:tc>
          <w:tcPr>
            <w:tcW w:w="1816" w:type="dxa"/>
            <w:tcBorders>
              <w:top w:val="dotted" w:sz="4" w:space="0" w:color="0070C0"/>
              <w:bottom w:val="double" w:sz="4" w:space="0" w:color="0070C0"/>
            </w:tcBorders>
            <w:hideMark/>
          </w:tcPr>
          <w:p w14:paraId="3B2908C2" w14:textId="11A1EC14" w:rsidR="00EB609A" w:rsidRPr="002565C9" w:rsidRDefault="00EB609A" w:rsidP="003C6BE6">
            <w:pPr>
              <w:spacing w:after="0"/>
              <w:rPr>
                <w:b/>
                <w:bCs/>
                <w:i/>
                <w:iCs/>
                <w:color w:val="7F7F7F" w:themeColor="text1" w:themeTint="80"/>
                <w:szCs w:val="20"/>
              </w:rPr>
            </w:pPr>
            <w:r w:rsidRPr="002565C9">
              <w:rPr>
                <w:b/>
                <w:bCs/>
                <w:i/>
                <w:iCs/>
                <w:color w:val="7F7F7F" w:themeColor="text1" w:themeTint="80"/>
                <w:szCs w:val="20"/>
              </w:rPr>
              <w:t>$ 6</w:t>
            </w:r>
            <w:r w:rsidR="00413C4B" w:rsidRPr="002565C9">
              <w:rPr>
                <w:b/>
                <w:bCs/>
                <w:i/>
                <w:iCs/>
                <w:color w:val="7F7F7F" w:themeColor="text1" w:themeTint="80"/>
                <w:szCs w:val="20"/>
              </w:rPr>
              <w:t>2</w:t>
            </w:r>
            <w:r w:rsidRPr="002565C9">
              <w:rPr>
                <w:b/>
                <w:bCs/>
                <w:i/>
                <w:iCs/>
                <w:color w:val="7F7F7F" w:themeColor="text1" w:themeTint="80"/>
                <w:szCs w:val="20"/>
              </w:rPr>
              <w:t>5 k</w:t>
            </w:r>
            <w:r w:rsidR="002565C9">
              <w:rPr>
                <w:b/>
                <w:bCs/>
                <w:i/>
                <w:iCs/>
                <w:color w:val="7F7F7F" w:themeColor="text1" w:themeTint="80"/>
                <w:szCs w:val="20"/>
              </w:rPr>
              <w:t>*</w:t>
            </w:r>
          </w:p>
        </w:tc>
        <w:tc>
          <w:tcPr>
            <w:tcW w:w="2839" w:type="dxa"/>
            <w:tcBorders>
              <w:top w:val="dotted" w:sz="4" w:space="0" w:color="0070C0"/>
              <w:bottom w:val="double" w:sz="4" w:space="0" w:color="0070C0"/>
            </w:tcBorders>
            <w:hideMark/>
          </w:tcPr>
          <w:p w14:paraId="3041C5B5" w14:textId="77777777" w:rsidR="00EB609A" w:rsidRPr="002565C9" w:rsidRDefault="00EB609A" w:rsidP="003C6BE6">
            <w:pPr>
              <w:spacing w:after="0"/>
              <w:rPr>
                <w:i/>
                <w:iCs/>
                <w:color w:val="7F7F7F" w:themeColor="text1" w:themeTint="80"/>
                <w:szCs w:val="20"/>
              </w:rPr>
            </w:pPr>
            <w:r w:rsidRPr="002565C9">
              <w:rPr>
                <w:i/>
                <w:iCs/>
                <w:color w:val="7F7F7F" w:themeColor="text1" w:themeTint="80"/>
                <w:szCs w:val="20"/>
              </w:rPr>
              <w:t>Multi-program applicability</w:t>
            </w:r>
          </w:p>
        </w:tc>
      </w:tr>
      <w:tr w:rsidR="00EB609A" w:rsidRPr="00EB609A" w14:paraId="78093609" w14:textId="77777777" w:rsidTr="00F3243C">
        <w:trPr>
          <w:trHeight w:val="288"/>
          <w:tblCellSpacing w:w="15" w:type="dxa"/>
        </w:trPr>
        <w:tc>
          <w:tcPr>
            <w:tcW w:w="2645" w:type="dxa"/>
            <w:vAlign w:val="center"/>
            <w:hideMark/>
          </w:tcPr>
          <w:p w14:paraId="511064CB" w14:textId="0529FE10" w:rsidR="00EB609A" w:rsidRPr="00EB609A" w:rsidRDefault="00EB609A" w:rsidP="003C6BE6">
            <w:pPr>
              <w:spacing w:after="0"/>
              <w:rPr>
                <w:szCs w:val="20"/>
              </w:rPr>
            </w:pPr>
          </w:p>
        </w:tc>
        <w:tc>
          <w:tcPr>
            <w:tcW w:w="3350" w:type="dxa"/>
            <w:vAlign w:val="center"/>
            <w:hideMark/>
          </w:tcPr>
          <w:p w14:paraId="7CF791A4" w14:textId="603166F5" w:rsidR="00EB609A" w:rsidRPr="00EB609A" w:rsidRDefault="00F755E2" w:rsidP="003C6BE6">
            <w:pPr>
              <w:spacing w:after="60"/>
              <w:rPr>
                <w:i/>
                <w:iCs/>
                <w:szCs w:val="20"/>
              </w:rPr>
            </w:pPr>
            <w:r w:rsidRPr="00EB609A">
              <w:rPr>
                <w:b/>
                <w:bCs/>
                <w:i/>
                <w:iCs/>
                <w:szCs w:val="20"/>
              </w:rPr>
              <w:t>Total Conservative Estimate</w:t>
            </w:r>
          </w:p>
        </w:tc>
        <w:tc>
          <w:tcPr>
            <w:tcW w:w="1816" w:type="dxa"/>
            <w:vAlign w:val="center"/>
            <w:hideMark/>
          </w:tcPr>
          <w:p w14:paraId="409B2EDF" w14:textId="49C2F2D0" w:rsidR="00EB609A" w:rsidRPr="00EB609A" w:rsidRDefault="00EB609A" w:rsidP="003C6BE6">
            <w:pPr>
              <w:spacing w:after="0"/>
              <w:rPr>
                <w:i/>
                <w:iCs/>
                <w:szCs w:val="20"/>
              </w:rPr>
            </w:pPr>
            <w:r w:rsidRPr="00EB609A">
              <w:rPr>
                <w:b/>
                <w:bCs/>
                <w:i/>
                <w:iCs/>
                <w:szCs w:val="20"/>
              </w:rPr>
              <w:t xml:space="preserve">≈ $ </w:t>
            </w:r>
            <w:r w:rsidR="002565C9">
              <w:rPr>
                <w:b/>
                <w:bCs/>
                <w:i/>
                <w:iCs/>
                <w:szCs w:val="20"/>
              </w:rPr>
              <w:t>1.</w:t>
            </w:r>
            <w:r w:rsidR="00AF2B5A">
              <w:rPr>
                <w:b/>
                <w:bCs/>
                <w:i/>
                <w:iCs/>
                <w:szCs w:val="20"/>
              </w:rPr>
              <w:t>4</w:t>
            </w:r>
            <w:r w:rsidRPr="00EB609A">
              <w:rPr>
                <w:b/>
                <w:bCs/>
                <w:i/>
                <w:iCs/>
                <w:szCs w:val="20"/>
              </w:rPr>
              <w:t xml:space="preserve"> M per year</w:t>
            </w:r>
          </w:p>
        </w:tc>
        <w:tc>
          <w:tcPr>
            <w:tcW w:w="2839" w:type="dxa"/>
            <w:vAlign w:val="center"/>
            <w:hideMark/>
          </w:tcPr>
          <w:p w14:paraId="1C62093D" w14:textId="09929F89" w:rsidR="00EB609A" w:rsidRPr="00EB609A" w:rsidRDefault="00EB609A" w:rsidP="003C6BE6">
            <w:pPr>
              <w:spacing w:after="0"/>
              <w:rPr>
                <w:i/>
                <w:iCs/>
                <w:szCs w:val="20"/>
              </w:rPr>
            </w:pPr>
            <w:r w:rsidRPr="00EB609A">
              <w:rPr>
                <w:i/>
                <w:iCs/>
                <w:szCs w:val="20"/>
              </w:rPr>
              <w:t>Recurring post-stabilization</w:t>
            </w:r>
          </w:p>
        </w:tc>
      </w:tr>
    </w:tbl>
    <w:p w14:paraId="62FB98DD" w14:textId="165ABE5F" w:rsidR="00EB609A" w:rsidRPr="002565C9" w:rsidRDefault="002565C9" w:rsidP="003C6BE6">
      <w:pPr>
        <w:spacing w:after="360"/>
        <w:jc w:val="right"/>
        <w:rPr>
          <w:i/>
          <w:iCs/>
          <w:sz w:val="18"/>
          <w:szCs w:val="18"/>
        </w:rPr>
      </w:pPr>
      <w:r w:rsidRPr="002565C9">
        <w:rPr>
          <w:sz w:val="18"/>
          <w:szCs w:val="18"/>
        </w:rPr>
        <w:tab/>
      </w:r>
      <w:r w:rsidRPr="002565C9">
        <w:rPr>
          <w:i/>
          <w:iCs/>
          <w:color w:val="7F7F7F" w:themeColor="text1" w:themeTint="80"/>
          <w:sz w:val="18"/>
          <w:szCs w:val="18"/>
        </w:rPr>
        <w:t xml:space="preserve">* </w:t>
      </w:r>
      <w:r w:rsidR="001F6A50">
        <w:rPr>
          <w:i/>
          <w:iCs/>
          <w:color w:val="7F7F7F" w:themeColor="text1" w:themeTint="80"/>
          <w:sz w:val="18"/>
          <w:szCs w:val="18"/>
        </w:rPr>
        <w:t>N</w:t>
      </w:r>
      <w:r w:rsidRPr="002565C9">
        <w:rPr>
          <w:i/>
          <w:iCs/>
          <w:color w:val="7F7F7F" w:themeColor="text1" w:themeTint="80"/>
          <w:sz w:val="18"/>
          <w:szCs w:val="18"/>
        </w:rPr>
        <w:t>ot included in current entitlement clai</w:t>
      </w:r>
      <w:r w:rsidR="001F6A50">
        <w:rPr>
          <w:i/>
          <w:iCs/>
          <w:color w:val="7F7F7F" w:themeColor="text1" w:themeTint="80"/>
          <w:sz w:val="18"/>
          <w:szCs w:val="18"/>
        </w:rPr>
        <w:t>m. T</w:t>
      </w:r>
      <w:r>
        <w:rPr>
          <w:i/>
          <w:iCs/>
          <w:color w:val="7F7F7F" w:themeColor="text1" w:themeTint="80"/>
          <w:sz w:val="18"/>
          <w:szCs w:val="18"/>
        </w:rPr>
        <w:t xml:space="preserve">his </w:t>
      </w:r>
      <w:r w:rsidR="001F6A50">
        <w:rPr>
          <w:i/>
          <w:iCs/>
          <w:color w:val="7F7F7F" w:themeColor="text1" w:themeTint="80"/>
          <w:sz w:val="18"/>
          <w:szCs w:val="18"/>
        </w:rPr>
        <w:t>represents value of road-mapped future phases of expansion</w:t>
      </w:r>
    </w:p>
    <w:p w14:paraId="69243764" w14:textId="77777777" w:rsidR="00EB609A" w:rsidRPr="00EB609A" w:rsidRDefault="00EB609A" w:rsidP="004D55C3">
      <w:pPr>
        <w:pStyle w:val="Heading3"/>
      </w:pPr>
      <w:r w:rsidRPr="00EB609A">
        <w:t>Dependencies, Risks &amp;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7312"/>
      </w:tblGrid>
      <w:tr w:rsidR="00EB609A" w:rsidRPr="00EB609A" w14:paraId="13C58FE6" w14:textId="77777777" w:rsidTr="005372A4">
        <w:trPr>
          <w:tblHeader/>
          <w:tblCellSpacing w:w="15" w:type="dxa"/>
        </w:trPr>
        <w:tc>
          <w:tcPr>
            <w:tcW w:w="3015" w:type="dxa"/>
            <w:shd w:val="clear" w:color="auto" w:fill="4C94D8" w:themeFill="text2" w:themeFillTint="80"/>
            <w:vAlign w:val="center"/>
            <w:hideMark/>
          </w:tcPr>
          <w:p w14:paraId="2D6DE0C1"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Risk / Dependency</w:t>
            </w:r>
          </w:p>
        </w:tc>
        <w:tc>
          <w:tcPr>
            <w:tcW w:w="7267" w:type="dxa"/>
            <w:shd w:val="clear" w:color="auto" w:fill="4C94D8" w:themeFill="text2" w:themeFillTint="80"/>
            <w:vAlign w:val="center"/>
            <w:hideMark/>
          </w:tcPr>
          <w:p w14:paraId="6B541564"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Mitigation</w:t>
            </w:r>
          </w:p>
        </w:tc>
      </w:tr>
      <w:tr w:rsidR="00EB609A" w:rsidRPr="00EB609A" w14:paraId="6938F43E" w14:textId="77777777" w:rsidTr="005372A4">
        <w:trPr>
          <w:tblCellSpacing w:w="15" w:type="dxa"/>
        </w:trPr>
        <w:tc>
          <w:tcPr>
            <w:tcW w:w="3015" w:type="dxa"/>
            <w:tcBorders>
              <w:bottom w:val="dotted" w:sz="4" w:space="0" w:color="0070C0"/>
            </w:tcBorders>
            <w:vAlign w:val="center"/>
            <w:hideMark/>
          </w:tcPr>
          <w:p w14:paraId="1D2E13B1" w14:textId="77777777" w:rsidR="00EB609A" w:rsidRPr="00EB609A" w:rsidRDefault="00EB609A" w:rsidP="003C6BE6">
            <w:pPr>
              <w:spacing w:after="0"/>
              <w:rPr>
                <w:szCs w:val="20"/>
              </w:rPr>
            </w:pPr>
            <w:r w:rsidRPr="00EB609A">
              <w:rPr>
                <w:szCs w:val="20"/>
              </w:rPr>
              <w:t>Data consistency across systems</w:t>
            </w:r>
          </w:p>
        </w:tc>
        <w:tc>
          <w:tcPr>
            <w:tcW w:w="7267" w:type="dxa"/>
            <w:tcBorders>
              <w:bottom w:val="dotted" w:sz="4" w:space="0" w:color="0070C0"/>
            </w:tcBorders>
            <w:vAlign w:val="center"/>
            <w:hideMark/>
          </w:tcPr>
          <w:p w14:paraId="0BB63C6E" w14:textId="77777777" w:rsidR="00EB609A" w:rsidRPr="00EB609A" w:rsidRDefault="00EB609A" w:rsidP="003C6BE6">
            <w:pPr>
              <w:spacing w:after="0"/>
              <w:rPr>
                <w:szCs w:val="20"/>
              </w:rPr>
            </w:pPr>
            <w:r w:rsidRPr="00EB609A">
              <w:rPr>
                <w:szCs w:val="20"/>
              </w:rPr>
              <w:t>Centralized governance and shared change-management process</w:t>
            </w:r>
          </w:p>
        </w:tc>
      </w:tr>
      <w:tr w:rsidR="00EB609A" w:rsidRPr="00EB609A" w14:paraId="296B9153" w14:textId="77777777" w:rsidTr="005372A4">
        <w:trPr>
          <w:tblCellSpacing w:w="15" w:type="dxa"/>
        </w:trPr>
        <w:tc>
          <w:tcPr>
            <w:tcW w:w="3015" w:type="dxa"/>
            <w:tcBorders>
              <w:top w:val="dotted" w:sz="4" w:space="0" w:color="0070C0"/>
              <w:bottom w:val="dotted" w:sz="4" w:space="0" w:color="0070C0"/>
            </w:tcBorders>
            <w:vAlign w:val="center"/>
            <w:hideMark/>
          </w:tcPr>
          <w:p w14:paraId="48FED5C6" w14:textId="77777777" w:rsidR="00EB609A" w:rsidRPr="00EB609A" w:rsidRDefault="00EB609A" w:rsidP="003C6BE6">
            <w:pPr>
              <w:spacing w:after="0"/>
              <w:rPr>
                <w:szCs w:val="20"/>
              </w:rPr>
            </w:pPr>
            <w:r w:rsidRPr="00EB609A">
              <w:rPr>
                <w:szCs w:val="20"/>
              </w:rPr>
              <w:t>Vendor adoption of portal</w:t>
            </w:r>
          </w:p>
        </w:tc>
        <w:tc>
          <w:tcPr>
            <w:tcW w:w="7267" w:type="dxa"/>
            <w:tcBorders>
              <w:top w:val="dotted" w:sz="4" w:space="0" w:color="0070C0"/>
              <w:bottom w:val="dotted" w:sz="4" w:space="0" w:color="0070C0"/>
            </w:tcBorders>
            <w:vAlign w:val="center"/>
            <w:hideMark/>
          </w:tcPr>
          <w:p w14:paraId="735BF24E" w14:textId="77777777" w:rsidR="00EB609A" w:rsidRPr="00EB609A" w:rsidRDefault="00EB609A" w:rsidP="003C6BE6">
            <w:pPr>
              <w:spacing w:after="0"/>
              <w:rPr>
                <w:szCs w:val="20"/>
              </w:rPr>
            </w:pPr>
            <w:r w:rsidRPr="00EB609A">
              <w:rPr>
                <w:szCs w:val="20"/>
              </w:rPr>
              <w:t>Co-branded rollout with VC and Replen Tech; vendor education and support</w:t>
            </w:r>
          </w:p>
        </w:tc>
      </w:tr>
      <w:tr w:rsidR="00EB609A" w:rsidRPr="00EB609A" w14:paraId="7816875A" w14:textId="77777777" w:rsidTr="005372A4">
        <w:trPr>
          <w:tblCellSpacing w:w="15" w:type="dxa"/>
        </w:trPr>
        <w:tc>
          <w:tcPr>
            <w:tcW w:w="3015" w:type="dxa"/>
            <w:tcBorders>
              <w:top w:val="dotted" w:sz="4" w:space="0" w:color="0070C0"/>
              <w:bottom w:val="dotted" w:sz="4" w:space="0" w:color="0070C0"/>
            </w:tcBorders>
            <w:vAlign w:val="center"/>
            <w:hideMark/>
          </w:tcPr>
          <w:p w14:paraId="1EB2E1B7" w14:textId="77777777" w:rsidR="00EB609A" w:rsidRPr="00EB609A" w:rsidRDefault="00EB609A" w:rsidP="003C6BE6">
            <w:pPr>
              <w:spacing w:after="0"/>
              <w:rPr>
                <w:szCs w:val="20"/>
              </w:rPr>
            </w:pPr>
            <w:r w:rsidRPr="00EB609A">
              <w:rPr>
                <w:szCs w:val="20"/>
              </w:rPr>
              <w:t>Inter-team alignment</w:t>
            </w:r>
          </w:p>
        </w:tc>
        <w:tc>
          <w:tcPr>
            <w:tcW w:w="7267" w:type="dxa"/>
            <w:tcBorders>
              <w:top w:val="dotted" w:sz="4" w:space="0" w:color="0070C0"/>
              <w:bottom w:val="dotted" w:sz="4" w:space="0" w:color="0070C0"/>
            </w:tcBorders>
            <w:vAlign w:val="center"/>
            <w:hideMark/>
          </w:tcPr>
          <w:p w14:paraId="4F89E4AC" w14:textId="3B02B93B" w:rsidR="00EB609A" w:rsidRPr="00EB609A" w:rsidRDefault="00EB609A" w:rsidP="003C6BE6">
            <w:pPr>
              <w:spacing w:after="0"/>
              <w:rPr>
                <w:szCs w:val="20"/>
              </w:rPr>
            </w:pPr>
            <w:r w:rsidRPr="00EB609A">
              <w:rPr>
                <w:szCs w:val="20"/>
              </w:rPr>
              <w:t>Defined data c</w:t>
            </w:r>
            <w:r w:rsidR="00D46C6F">
              <w:rPr>
                <w:szCs w:val="20"/>
              </w:rPr>
              <w:t>harters</w:t>
            </w:r>
            <w:r w:rsidRPr="00EB609A">
              <w:rPr>
                <w:szCs w:val="20"/>
              </w:rPr>
              <w:t xml:space="preserve"> and joint implementation roadmap</w:t>
            </w:r>
          </w:p>
        </w:tc>
      </w:tr>
      <w:tr w:rsidR="00EB609A" w:rsidRPr="00EB609A" w14:paraId="439EECB9" w14:textId="77777777" w:rsidTr="005372A4">
        <w:trPr>
          <w:tblCellSpacing w:w="15" w:type="dxa"/>
        </w:trPr>
        <w:tc>
          <w:tcPr>
            <w:tcW w:w="3015" w:type="dxa"/>
            <w:tcBorders>
              <w:top w:val="dotted" w:sz="4" w:space="0" w:color="0070C0"/>
            </w:tcBorders>
            <w:vAlign w:val="center"/>
            <w:hideMark/>
          </w:tcPr>
          <w:p w14:paraId="135384FA" w14:textId="77777777" w:rsidR="00EB609A" w:rsidRPr="00EB609A" w:rsidRDefault="00EB609A" w:rsidP="003C6BE6">
            <w:pPr>
              <w:spacing w:after="0"/>
              <w:rPr>
                <w:szCs w:val="20"/>
              </w:rPr>
            </w:pPr>
            <w:r w:rsidRPr="00EB609A">
              <w:rPr>
                <w:szCs w:val="20"/>
              </w:rPr>
              <w:t>Platform sustainment</w:t>
            </w:r>
          </w:p>
        </w:tc>
        <w:tc>
          <w:tcPr>
            <w:tcW w:w="7267" w:type="dxa"/>
            <w:tcBorders>
              <w:top w:val="dotted" w:sz="4" w:space="0" w:color="0070C0"/>
            </w:tcBorders>
            <w:vAlign w:val="center"/>
            <w:hideMark/>
          </w:tcPr>
          <w:p w14:paraId="06213946" w14:textId="6190156B" w:rsidR="00EB609A" w:rsidRPr="00EB609A" w:rsidRDefault="00EB609A" w:rsidP="003C6BE6">
            <w:pPr>
              <w:spacing w:after="0"/>
              <w:rPr>
                <w:szCs w:val="20"/>
              </w:rPr>
            </w:pPr>
            <w:r w:rsidRPr="00EB609A">
              <w:rPr>
                <w:szCs w:val="20"/>
              </w:rPr>
              <w:t>Ownership by Supply-Chain B.I. with ongoing support from Replen Tech and EDS</w:t>
            </w:r>
          </w:p>
        </w:tc>
      </w:tr>
    </w:tbl>
    <w:p w14:paraId="09775C7B" w14:textId="7FEA0A08" w:rsidR="004D55C3" w:rsidRDefault="004D55C3" w:rsidP="004D55C3">
      <w:pPr>
        <w:pStyle w:val="Heading2"/>
      </w:pPr>
      <w:r>
        <w:t>5. Risk Reduction &amp; Trust Preservation</w:t>
      </w:r>
    </w:p>
    <w:p w14:paraId="43238325" w14:textId="43B916C9" w:rsidR="004D55C3" w:rsidRDefault="004D55C3" w:rsidP="004D55C3">
      <w:r>
        <w:t xml:space="preserve">Today, CPFR relies on internally managed vendor contact configurations to distribute sensitive, vendor-specific data at scale. While operationally workable at smaller volumes, this model introduces a growing class of risk as CPFR </w:t>
      </w:r>
      <w:proofErr w:type="gramStart"/>
      <w:r>
        <w:t>expands:</w:t>
      </w:r>
      <w:proofErr w:type="gramEnd"/>
      <w:r>
        <w:t xml:space="preserve"> configuration accuracy becomes a prerequisite for data security. As vendor count, batch updates, and distribution complexity increase, the probability and blast radius of misconfiguration </w:t>
      </w:r>
      <w:r w:rsidR="007326F9">
        <w:t>increase</w:t>
      </w:r>
      <w:r>
        <w:t xml:space="preserve"> accordingly.</w:t>
      </w:r>
    </w:p>
    <w:p w14:paraId="446AFF94" w14:textId="77777777" w:rsidR="004D55C3" w:rsidRDefault="004D55C3" w:rsidP="004D55C3"/>
    <w:p w14:paraId="4409C541" w14:textId="57DBA223" w:rsidR="004D55C3" w:rsidRDefault="004D55C3" w:rsidP="004D55C3">
      <w:r>
        <w:lastRenderedPageBreak/>
        <w:t>Enabling vendor self-service for contact management and distribution preferences materially reduces this risk by aligning data ownership with data accountability. Vendors directly control who receives their information, eliminating an entire category of inadvertent disclosure driven by internal error. Beyond operational efficiency, this shift protects vendor trust and Chewy’s reputation by structurally reducing the likelihood of inappropriate data exposure as CPFR scales.</w:t>
      </w:r>
    </w:p>
    <w:p w14:paraId="2C7385E3" w14:textId="7D3A638B" w:rsidR="00D0092F" w:rsidRDefault="00D46C6F" w:rsidP="003C6BE6">
      <w:pPr>
        <w:pStyle w:val="Heading1"/>
      </w:pPr>
      <w:r>
        <w:t>Entitlement</w:t>
      </w:r>
      <w:r w:rsidR="00D0092F">
        <w:t xml:space="preserve"> Benefit</w:t>
      </w:r>
    </w:p>
    <w:p w14:paraId="7D39558B" w14:textId="7CFFC1AC" w:rsidR="003C2F5B" w:rsidRPr="0025222F" w:rsidRDefault="003C2F5B" w:rsidP="0025222F">
      <w:pPr>
        <w:spacing w:line="240" w:lineRule="auto"/>
        <w:rPr>
          <w:szCs w:val="20"/>
        </w:rPr>
      </w:pPr>
      <w:r w:rsidRPr="0025222F">
        <w:rPr>
          <w:szCs w:val="20"/>
        </w:rPr>
        <w:t xml:space="preserve">The CPFR Platform and Portal initiative advances Chewy’s goals of operational excellence and partner enablement by transforming manual reporting into a governed, always-available data capability. In partnership with VC and Chargeback, it enables consistent, data-driven collaboration across connected supply-chain functions. The initiative yields an estimated </w:t>
      </w:r>
      <w:r w:rsidRPr="0025222F">
        <w:rPr>
          <w:bCs/>
          <w:szCs w:val="20"/>
        </w:rPr>
        <w:t>$1.</w:t>
      </w:r>
      <w:r w:rsidR="00AF2B5A">
        <w:rPr>
          <w:bCs/>
          <w:szCs w:val="20"/>
        </w:rPr>
        <w:t>4</w:t>
      </w:r>
      <w:r w:rsidRPr="0025222F">
        <w:rPr>
          <w:bCs/>
          <w:szCs w:val="20"/>
        </w:rPr>
        <w:t xml:space="preserve"> million in recurring annual benefit</w:t>
      </w:r>
      <w:r w:rsidRPr="0025222F">
        <w:rPr>
          <w:szCs w:val="20"/>
        </w:rPr>
        <w:t xml:space="preserve"> specific to CPFR—building on and amplifying the value generated by VC and Chargeback integration. </w:t>
      </w:r>
      <w:r w:rsidR="00D06E7F">
        <w:rPr>
          <w:szCs w:val="20"/>
        </w:rPr>
        <w:t xml:space="preserve">It also protects the investment in vendor trust and confidence that Chewy has earned over the last 15 </w:t>
      </w:r>
      <w:proofErr w:type="gramStart"/>
      <w:r w:rsidR="00D06E7F">
        <w:rPr>
          <w:szCs w:val="20"/>
        </w:rPr>
        <w:t>years, and</w:t>
      </w:r>
      <w:proofErr w:type="gramEnd"/>
      <w:r w:rsidR="00D06E7F">
        <w:rPr>
          <w:szCs w:val="20"/>
        </w:rPr>
        <w:t xml:space="preserve"> </w:t>
      </w:r>
      <w:r w:rsidR="007326F9">
        <w:rPr>
          <w:szCs w:val="20"/>
        </w:rPr>
        <w:t>converts structural</w:t>
      </w:r>
      <w:r w:rsidR="00D06E7F">
        <w:rPr>
          <w:szCs w:val="20"/>
        </w:rPr>
        <w:t xml:space="preserve"> risk into </w:t>
      </w:r>
      <w:r w:rsidR="007326F9">
        <w:rPr>
          <w:szCs w:val="20"/>
        </w:rPr>
        <w:t>durable advantage</w:t>
      </w:r>
      <w:r w:rsidR="00D06E7F">
        <w:rPr>
          <w:szCs w:val="20"/>
        </w:rPr>
        <w:t xml:space="preserve">. </w:t>
      </w:r>
      <w:r w:rsidRPr="0025222F">
        <w:rPr>
          <w:szCs w:val="20"/>
        </w:rPr>
        <w:t>This combined momentum directly supports Chewy’s digital modernization strategy and represents a pragmatic, low-risk investment in sustained growth and data confidence.</w:t>
      </w:r>
    </w:p>
    <w:p w14:paraId="156B2350" w14:textId="77777777" w:rsidR="004D55C3" w:rsidRDefault="004D55C3">
      <w:pPr>
        <w:spacing w:before="0" w:after="160" w:line="278" w:lineRule="auto"/>
        <w:rPr>
          <w:rFonts w:asciiTheme="majorHAnsi" w:eastAsiaTheme="majorEastAsia" w:hAnsiTheme="majorHAnsi" w:cstheme="majorBidi"/>
          <w:b/>
          <w:sz w:val="22"/>
          <w:szCs w:val="40"/>
        </w:rPr>
      </w:pPr>
      <w:r>
        <w:br w:type="page"/>
      </w:r>
    </w:p>
    <w:p w14:paraId="4B5770A3" w14:textId="573E8B19" w:rsidR="00413C4B" w:rsidRDefault="00413C4B" w:rsidP="006E4789">
      <w:pPr>
        <w:pStyle w:val="Heading1"/>
      </w:pPr>
      <w:r>
        <w:lastRenderedPageBreak/>
        <w:t>Appendix 1: Valuation Basis</w:t>
      </w:r>
    </w:p>
    <w:p w14:paraId="06D66A78" w14:textId="21B877FF" w:rsidR="00120C86" w:rsidRPr="00120C86" w:rsidRDefault="00120C86" w:rsidP="00120C86">
      <w:r w:rsidRPr="00120C86">
        <w:t>The valuation basis reflects conservative estimates of CPFR's indirect contribution to operational efficiency and cost avoidance. As a collaborative planning enabler, CPFR's value accrues through improved data visibility, reduced coordination friction, and enhanced analytical capacity—factors that support broader organizational effectiveness but do not generate direct revenue</w:t>
      </w:r>
      <w:r>
        <w:t>.</w:t>
      </w:r>
    </w:p>
    <w:tbl>
      <w:tblPr>
        <w:tblW w:w="12680" w:type="dxa"/>
        <w:tblLook w:val="04A0" w:firstRow="1" w:lastRow="0" w:firstColumn="1" w:lastColumn="0" w:noHBand="0" w:noVBand="1"/>
      </w:tblPr>
      <w:tblGrid>
        <w:gridCol w:w="3420"/>
        <w:gridCol w:w="270"/>
        <w:gridCol w:w="900"/>
        <w:gridCol w:w="270"/>
        <w:gridCol w:w="5760"/>
        <w:gridCol w:w="2060"/>
      </w:tblGrid>
      <w:tr w:rsidR="00413C4B" w:rsidRPr="00413C4B" w14:paraId="2881B9EF" w14:textId="77777777" w:rsidTr="00F31945">
        <w:trPr>
          <w:trHeight w:val="288"/>
        </w:trPr>
        <w:tc>
          <w:tcPr>
            <w:tcW w:w="12680" w:type="dxa"/>
            <w:gridSpan w:val="6"/>
            <w:tcBorders>
              <w:top w:val="nil"/>
              <w:left w:val="nil"/>
              <w:bottom w:val="nil"/>
              <w:right w:val="nil"/>
            </w:tcBorders>
            <w:noWrap/>
            <w:vAlign w:val="bottom"/>
            <w:hideMark/>
          </w:tcPr>
          <w:p w14:paraId="59763FFD" w14:textId="7BE5477F"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 Operational Efficiency Calculations</w:t>
            </w:r>
          </w:p>
        </w:tc>
      </w:tr>
      <w:tr w:rsidR="00413C4B" w:rsidRPr="00413C4B" w14:paraId="0823F41F" w14:textId="77777777" w:rsidTr="00F31945">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5EB50778"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61EC6F6B"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hideMark/>
          </w:tcPr>
          <w:p w14:paraId="467B3A21"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0071F12A"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hideMark/>
          </w:tcPr>
          <w:p w14:paraId="2E3D7E53"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413C4B" w:rsidRPr="00413C4B" w14:paraId="4F8F7D21" w14:textId="77777777" w:rsidTr="00F31945">
        <w:trPr>
          <w:gridAfter w:val="1"/>
          <w:wAfter w:w="2060" w:type="dxa"/>
          <w:trHeight w:val="288"/>
        </w:trPr>
        <w:tc>
          <w:tcPr>
            <w:tcW w:w="3420" w:type="dxa"/>
            <w:tcBorders>
              <w:top w:val="nil"/>
              <w:left w:val="nil"/>
              <w:bottom w:val="nil"/>
              <w:right w:val="nil"/>
            </w:tcBorders>
            <w:noWrap/>
            <w:vAlign w:val="bottom"/>
            <w:hideMark/>
          </w:tcPr>
          <w:p w14:paraId="6659108E" w14:textId="71596281"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ISM </w:t>
            </w:r>
            <w:r w:rsidR="00316109">
              <w:rPr>
                <w:rFonts w:ascii="Aptos Narrow" w:eastAsia="Times New Roman" w:hAnsi="Aptos Narrow" w:cs="Times New Roman"/>
                <w:color w:val="000000"/>
                <w:kern w:val="0"/>
                <w:szCs w:val="20"/>
                <w14:ligatures w14:val="none"/>
              </w:rPr>
              <w:t>c</w:t>
            </w:r>
            <w:r w:rsidRPr="00413C4B">
              <w:rPr>
                <w:rFonts w:ascii="Aptos Narrow" w:eastAsia="Times New Roman" w:hAnsi="Aptos Narrow" w:cs="Times New Roman"/>
                <w:color w:val="000000"/>
                <w:kern w:val="0"/>
                <w:szCs w:val="20"/>
                <w14:ligatures w14:val="none"/>
              </w:rPr>
              <w:t>ohort</w:t>
            </w:r>
          </w:p>
        </w:tc>
        <w:tc>
          <w:tcPr>
            <w:tcW w:w="270" w:type="dxa"/>
            <w:tcBorders>
              <w:top w:val="nil"/>
              <w:left w:val="nil"/>
              <w:bottom w:val="nil"/>
              <w:right w:val="nil"/>
            </w:tcBorders>
            <w:noWrap/>
            <w:vAlign w:val="bottom"/>
            <w:hideMark/>
          </w:tcPr>
          <w:p w14:paraId="01DCFE21"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160DEE64"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36</w:t>
            </w:r>
          </w:p>
        </w:tc>
        <w:tc>
          <w:tcPr>
            <w:tcW w:w="270" w:type="dxa"/>
            <w:tcBorders>
              <w:top w:val="nil"/>
              <w:left w:val="nil"/>
              <w:bottom w:val="nil"/>
              <w:right w:val="nil"/>
            </w:tcBorders>
            <w:noWrap/>
            <w:vAlign w:val="bottom"/>
            <w:hideMark/>
          </w:tcPr>
          <w:p w14:paraId="2F7F20DD"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3B1C810C"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Includes Consumables, Health/Science, EFE, Hard Goods, </w:t>
            </w:r>
          </w:p>
        </w:tc>
      </w:tr>
      <w:tr w:rsidR="00413C4B" w:rsidRPr="00413C4B" w14:paraId="67643B75" w14:textId="77777777" w:rsidTr="00F31945">
        <w:trPr>
          <w:gridAfter w:val="1"/>
          <w:wAfter w:w="2060" w:type="dxa"/>
          <w:trHeight w:val="288"/>
        </w:trPr>
        <w:tc>
          <w:tcPr>
            <w:tcW w:w="3420" w:type="dxa"/>
            <w:tcBorders>
              <w:top w:val="nil"/>
              <w:left w:val="nil"/>
              <w:bottom w:val="nil"/>
              <w:right w:val="nil"/>
            </w:tcBorders>
            <w:noWrap/>
            <w:vAlign w:val="bottom"/>
            <w:hideMark/>
          </w:tcPr>
          <w:p w14:paraId="4EC037AD" w14:textId="3AD44198"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H</w:t>
            </w:r>
            <w:r>
              <w:rPr>
                <w:rFonts w:ascii="Aptos Narrow" w:eastAsia="Times New Roman" w:hAnsi="Aptos Narrow" w:cs="Times New Roman"/>
                <w:color w:val="000000"/>
                <w:kern w:val="0"/>
                <w:szCs w:val="20"/>
                <w14:ligatures w14:val="none"/>
              </w:rPr>
              <w:t>ou</w:t>
            </w:r>
            <w:r w:rsidRPr="00413C4B">
              <w:rPr>
                <w:rFonts w:ascii="Aptos Narrow" w:eastAsia="Times New Roman" w:hAnsi="Aptos Narrow" w:cs="Times New Roman"/>
                <w:color w:val="000000"/>
                <w:kern w:val="0"/>
                <w:szCs w:val="20"/>
                <w14:ligatures w14:val="none"/>
              </w:rPr>
              <w:t>rs per person/week</w:t>
            </w:r>
          </w:p>
        </w:tc>
        <w:tc>
          <w:tcPr>
            <w:tcW w:w="270" w:type="dxa"/>
            <w:tcBorders>
              <w:top w:val="nil"/>
              <w:left w:val="nil"/>
              <w:bottom w:val="nil"/>
              <w:right w:val="nil"/>
            </w:tcBorders>
            <w:noWrap/>
            <w:vAlign w:val="bottom"/>
            <w:hideMark/>
          </w:tcPr>
          <w:p w14:paraId="3F24B5C6"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7E5E432B"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2</w:t>
            </w:r>
          </w:p>
        </w:tc>
        <w:tc>
          <w:tcPr>
            <w:tcW w:w="270" w:type="dxa"/>
            <w:tcBorders>
              <w:top w:val="nil"/>
              <w:left w:val="nil"/>
              <w:bottom w:val="nil"/>
              <w:right w:val="nil"/>
            </w:tcBorders>
            <w:noWrap/>
            <w:vAlign w:val="bottom"/>
            <w:hideMark/>
          </w:tcPr>
          <w:p w14:paraId="0143CB73"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20E0B3F3" w14:textId="4695BBE5" w:rsidR="00413C4B" w:rsidRPr="00413C4B" w:rsidRDefault="00213DDC" w:rsidP="006E4789">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Median surveyed response value</w:t>
            </w:r>
          </w:p>
        </w:tc>
      </w:tr>
      <w:tr w:rsidR="00413C4B" w:rsidRPr="00413C4B" w14:paraId="20F32776" w14:textId="77777777" w:rsidTr="00F31945">
        <w:trPr>
          <w:gridAfter w:val="1"/>
          <w:wAfter w:w="2060" w:type="dxa"/>
          <w:trHeight w:val="288"/>
        </w:trPr>
        <w:tc>
          <w:tcPr>
            <w:tcW w:w="3420" w:type="dxa"/>
            <w:tcBorders>
              <w:top w:val="nil"/>
              <w:left w:val="nil"/>
              <w:bottom w:val="nil"/>
              <w:right w:val="nil"/>
            </w:tcBorders>
            <w:noWrap/>
            <w:vAlign w:val="bottom"/>
            <w:hideMark/>
          </w:tcPr>
          <w:p w14:paraId="0B49D61B"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Rate</w:t>
            </w:r>
          </w:p>
        </w:tc>
        <w:tc>
          <w:tcPr>
            <w:tcW w:w="270" w:type="dxa"/>
            <w:tcBorders>
              <w:top w:val="nil"/>
              <w:left w:val="nil"/>
              <w:bottom w:val="nil"/>
              <w:right w:val="nil"/>
            </w:tcBorders>
            <w:noWrap/>
            <w:vAlign w:val="bottom"/>
            <w:hideMark/>
          </w:tcPr>
          <w:p w14:paraId="2AA77678"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757896F5"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64.90</w:t>
            </w:r>
          </w:p>
        </w:tc>
        <w:tc>
          <w:tcPr>
            <w:tcW w:w="270" w:type="dxa"/>
            <w:tcBorders>
              <w:top w:val="nil"/>
              <w:left w:val="nil"/>
              <w:bottom w:val="nil"/>
              <w:right w:val="nil"/>
            </w:tcBorders>
            <w:noWrap/>
            <w:vAlign w:val="bottom"/>
            <w:hideMark/>
          </w:tcPr>
          <w:p w14:paraId="2E442C24"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085E33BA"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C5 average (likely higher IRL)</w:t>
            </w:r>
          </w:p>
        </w:tc>
      </w:tr>
      <w:tr w:rsidR="00413C4B" w:rsidRPr="00413C4B" w14:paraId="7EBF18F4" w14:textId="77777777" w:rsidTr="00F31945">
        <w:trPr>
          <w:gridAfter w:val="1"/>
          <w:wAfter w:w="2060" w:type="dxa"/>
          <w:trHeight w:val="288"/>
        </w:trPr>
        <w:tc>
          <w:tcPr>
            <w:tcW w:w="3420" w:type="dxa"/>
            <w:tcBorders>
              <w:top w:val="nil"/>
              <w:left w:val="nil"/>
              <w:bottom w:val="nil"/>
              <w:right w:val="nil"/>
            </w:tcBorders>
            <w:noWrap/>
            <w:vAlign w:val="bottom"/>
            <w:hideMark/>
          </w:tcPr>
          <w:p w14:paraId="2B3D98E2"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Weeks</w:t>
            </w:r>
          </w:p>
        </w:tc>
        <w:tc>
          <w:tcPr>
            <w:tcW w:w="270" w:type="dxa"/>
            <w:tcBorders>
              <w:top w:val="nil"/>
              <w:left w:val="nil"/>
              <w:bottom w:val="nil"/>
              <w:right w:val="nil"/>
            </w:tcBorders>
            <w:noWrap/>
            <w:vAlign w:val="bottom"/>
            <w:hideMark/>
          </w:tcPr>
          <w:p w14:paraId="751EE6B9"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3D863221"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52</w:t>
            </w:r>
          </w:p>
        </w:tc>
        <w:tc>
          <w:tcPr>
            <w:tcW w:w="270" w:type="dxa"/>
            <w:tcBorders>
              <w:top w:val="nil"/>
              <w:left w:val="nil"/>
              <w:bottom w:val="nil"/>
              <w:right w:val="nil"/>
            </w:tcBorders>
            <w:noWrap/>
            <w:vAlign w:val="bottom"/>
            <w:hideMark/>
          </w:tcPr>
          <w:p w14:paraId="603DFD9E"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45378A3D" w14:textId="221C01F3"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Burden rate does not stop during PTO/Holidays</w:t>
            </w:r>
          </w:p>
        </w:tc>
      </w:tr>
      <w:tr w:rsidR="00413C4B" w:rsidRPr="00413C4B" w14:paraId="44DE99BA" w14:textId="77777777" w:rsidTr="00F31945">
        <w:trPr>
          <w:gridAfter w:val="1"/>
          <w:wAfter w:w="2060" w:type="dxa"/>
          <w:trHeight w:val="576"/>
        </w:trPr>
        <w:tc>
          <w:tcPr>
            <w:tcW w:w="3420" w:type="dxa"/>
            <w:tcBorders>
              <w:top w:val="nil"/>
              <w:left w:val="nil"/>
              <w:bottom w:val="double" w:sz="4" w:space="0" w:color="auto"/>
              <w:right w:val="nil"/>
            </w:tcBorders>
            <w:noWrap/>
            <w:hideMark/>
          </w:tcPr>
          <w:p w14:paraId="042D3DD5"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FBLR</w:t>
            </w:r>
          </w:p>
        </w:tc>
        <w:tc>
          <w:tcPr>
            <w:tcW w:w="270" w:type="dxa"/>
            <w:tcBorders>
              <w:top w:val="nil"/>
              <w:left w:val="nil"/>
              <w:bottom w:val="double" w:sz="4" w:space="0" w:color="auto"/>
              <w:right w:val="nil"/>
            </w:tcBorders>
            <w:noWrap/>
            <w:hideMark/>
          </w:tcPr>
          <w:p w14:paraId="56A9CB27"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hideMark/>
          </w:tcPr>
          <w:p w14:paraId="4AE3688A"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2.5</w:t>
            </w:r>
          </w:p>
        </w:tc>
        <w:tc>
          <w:tcPr>
            <w:tcW w:w="270" w:type="dxa"/>
            <w:tcBorders>
              <w:top w:val="nil"/>
              <w:left w:val="nil"/>
              <w:bottom w:val="nil"/>
              <w:right w:val="nil"/>
            </w:tcBorders>
            <w:noWrap/>
            <w:hideMark/>
          </w:tcPr>
          <w:p w14:paraId="112E5A04"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3A4003CD"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Inflation factor for fringe, overhead, G&amp;A--based on GAO guidelines and ACEC/AEC project estimators for white-collar roles</w:t>
            </w:r>
          </w:p>
        </w:tc>
      </w:tr>
      <w:tr w:rsidR="00413C4B" w:rsidRPr="00413C4B" w14:paraId="533AF759" w14:textId="77777777" w:rsidTr="00F31945">
        <w:trPr>
          <w:gridAfter w:val="1"/>
          <w:wAfter w:w="2060" w:type="dxa"/>
          <w:trHeight w:val="300"/>
        </w:trPr>
        <w:tc>
          <w:tcPr>
            <w:tcW w:w="3420" w:type="dxa"/>
            <w:tcBorders>
              <w:top w:val="double" w:sz="4" w:space="0" w:color="auto"/>
              <w:left w:val="nil"/>
              <w:bottom w:val="nil"/>
              <w:right w:val="nil"/>
            </w:tcBorders>
            <w:noWrap/>
            <w:vAlign w:val="bottom"/>
            <w:hideMark/>
          </w:tcPr>
          <w:p w14:paraId="31B740F7" w14:textId="76FE026F"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Op</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Ex</w:t>
            </w:r>
          </w:p>
        </w:tc>
        <w:tc>
          <w:tcPr>
            <w:tcW w:w="270" w:type="dxa"/>
            <w:tcBorders>
              <w:top w:val="double" w:sz="4" w:space="0" w:color="auto"/>
              <w:left w:val="nil"/>
              <w:bottom w:val="nil"/>
              <w:right w:val="nil"/>
            </w:tcBorders>
            <w:noWrap/>
            <w:vAlign w:val="bottom"/>
            <w:hideMark/>
          </w:tcPr>
          <w:p w14:paraId="5E4409C9"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hideMark/>
          </w:tcPr>
          <w:p w14:paraId="73385DDA"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607500</w:t>
            </w:r>
          </w:p>
        </w:tc>
        <w:tc>
          <w:tcPr>
            <w:tcW w:w="270" w:type="dxa"/>
            <w:tcBorders>
              <w:top w:val="nil"/>
              <w:left w:val="nil"/>
              <w:bottom w:val="nil"/>
              <w:right w:val="nil"/>
            </w:tcBorders>
            <w:noWrap/>
            <w:vAlign w:val="bottom"/>
            <w:hideMark/>
          </w:tcPr>
          <w:p w14:paraId="54755B5F"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353F29FF"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r w:rsidR="00413C4B" w:rsidRPr="00413C4B" w14:paraId="7CE35D51" w14:textId="77777777" w:rsidTr="00F31945">
        <w:trPr>
          <w:gridAfter w:val="1"/>
          <w:wAfter w:w="2060" w:type="dxa"/>
          <w:trHeight w:val="288"/>
        </w:trPr>
        <w:tc>
          <w:tcPr>
            <w:tcW w:w="3420" w:type="dxa"/>
            <w:tcBorders>
              <w:top w:val="nil"/>
              <w:left w:val="nil"/>
              <w:bottom w:val="nil"/>
              <w:right w:val="nil"/>
            </w:tcBorders>
            <w:noWrap/>
            <w:vAlign w:val="bottom"/>
            <w:hideMark/>
          </w:tcPr>
          <w:p w14:paraId="182FF7C3"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0340B2EF"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900" w:type="dxa"/>
            <w:tcBorders>
              <w:top w:val="nil"/>
              <w:left w:val="nil"/>
              <w:bottom w:val="nil"/>
              <w:right w:val="nil"/>
            </w:tcBorders>
            <w:noWrap/>
            <w:vAlign w:val="bottom"/>
            <w:hideMark/>
          </w:tcPr>
          <w:p w14:paraId="641D2C0D"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4E2FD587"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5760" w:type="dxa"/>
            <w:tcBorders>
              <w:top w:val="nil"/>
              <w:left w:val="nil"/>
              <w:bottom w:val="nil"/>
              <w:right w:val="nil"/>
            </w:tcBorders>
            <w:vAlign w:val="bottom"/>
            <w:hideMark/>
          </w:tcPr>
          <w:p w14:paraId="1C1F6E9E"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r w:rsidR="00413C4B" w:rsidRPr="00413C4B" w14:paraId="783EB558" w14:textId="77777777" w:rsidTr="00F31945">
        <w:trPr>
          <w:trHeight w:val="288"/>
        </w:trPr>
        <w:tc>
          <w:tcPr>
            <w:tcW w:w="12680" w:type="dxa"/>
            <w:gridSpan w:val="6"/>
            <w:tcBorders>
              <w:top w:val="nil"/>
              <w:left w:val="nil"/>
              <w:bottom w:val="nil"/>
              <w:right w:val="nil"/>
            </w:tcBorders>
            <w:noWrap/>
            <w:vAlign w:val="bottom"/>
            <w:hideMark/>
          </w:tcPr>
          <w:p w14:paraId="397FD5ED"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[2] Vendor Enablement &amp; Partnership Expansion</w:t>
            </w:r>
          </w:p>
        </w:tc>
      </w:tr>
      <w:tr w:rsidR="00413C4B" w:rsidRPr="00413C4B" w14:paraId="60EB5C87" w14:textId="77777777" w:rsidTr="00F31945">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04F7F6C1"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37C1F38D"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hideMark/>
          </w:tcPr>
          <w:p w14:paraId="26A92CDC"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432AB615"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hideMark/>
          </w:tcPr>
          <w:p w14:paraId="58982C61"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626362" w:rsidRPr="00413C4B" w14:paraId="2EDBFF6D" w14:textId="77777777" w:rsidTr="00F31945">
        <w:trPr>
          <w:gridAfter w:val="1"/>
          <w:wAfter w:w="2060" w:type="dxa"/>
          <w:trHeight w:val="300"/>
        </w:trPr>
        <w:tc>
          <w:tcPr>
            <w:tcW w:w="3420" w:type="dxa"/>
            <w:tcBorders>
              <w:top w:val="single" w:sz="4" w:space="0" w:color="auto"/>
              <w:left w:val="nil"/>
              <w:bottom w:val="nil"/>
              <w:right w:val="nil"/>
            </w:tcBorders>
            <w:noWrap/>
            <w:vAlign w:val="bottom"/>
          </w:tcPr>
          <w:p w14:paraId="7CA3AE75" w14:textId="6EB47E37" w:rsidR="00626362" w:rsidRPr="00413C4B" w:rsidRDefault="00626362" w:rsidP="00F31945">
            <w:pPr>
              <w:spacing w:before="40" w:after="0" w:line="240" w:lineRule="auto"/>
              <w:ind w:firstLine="160"/>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Vendor friction reduction</w:t>
            </w:r>
          </w:p>
        </w:tc>
        <w:tc>
          <w:tcPr>
            <w:tcW w:w="270" w:type="dxa"/>
            <w:tcBorders>
              <w:top w:val="single" w:sz="4" w:space="0" w:color="auto"/>
              <w:left w:val="nil"/>
              <w:bottom w:val="nil"/>
              <w:right w:val="nil"/>
            </w:tcBorders>
            <w:noWrap/>
            <w:vAlign w:val="bottom"/>
          </w:tcPr>
          <w:p w14:paraId="2E68A742" w14:textId="77777777" w:rsidR="00626362" w:rsidRPr="00413C4B" w:rsidRDefault="00626362" w:rsidP="006E4789">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single" w:sz="4" w:space="0" w:color="auto"/>
              <w:left w:val="nil"/>
              <w:bottom w:val="nil"/>
              <w:right w:val="nil"/>
            </w:tcBorders>
            <w:noWrap/>
            <w:vAlign w:val="bottom"/>
          </w:tcPr>
          <w:p w14:paraId="7FE556FB" w14:textId="57F37421" w:rsidR="00626362" w:rsidRPr="00413C4B" w:rsidRDefault="00626362" w:rsidP="006E4789">
            <w:pPr>
              <w:spacing w:before="40" w:after="0" w:line="240" w:lineRule="auto"/>
              <w:jc w:val="right"/>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0.5</w:t>
            </w:r>
          </w:p>
        </w:tc>
        <w:tc>
          <w:tcPr>
            <w:tcW w:w="270" w:type="dxa"/>
            <w:tcBorders>
              <w:top w:val="single" w:sz="4" w:space="0" w:color="auto"/>
              <w:left w:val="nil"/>
              <w:bottom w:val="nil"/>
              <w:right w:val="nil"/>
            </w:tcBorders>
            <w:noWrap/>
            <w:vAlign w:val="bottom"/>
          </w:tcPr>
          <w:p w14:paraId="1C46CA61" w14:textId="77777777" w:rsidR="00626362" w:rsidRPr="00413C4B" w:rsidRDefault="00626362"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single" w:sz="4" w:space="0" w:color="auto"/>
              <w:left w:val="nil"/>
              <w:bottom w:val="nil"/>
              <w:right w:val="nil"/>
            </w:tcBorders>
            <w:vAlign w:val="bottom"/>
          </w:tcPr>
          <w:p w14:paraId="62CEB3FE" w14:textId="3C56655D" w:rsidR="00626362" w:rsidRPr="00626362" w:rsidRDefault="00626362" w:rsidP="006E4789">
            <w:pPr>
              <w:spacing w:before="40" w:after="0" w:line="240" w:lineRule="auto"/>
              <w:rPr>
                <w:rFonts w:ascii="Aptos Narrow" w:eastAsia="Times New Roman" w:hAnsi="Aptos Narrow" w:cs="Times New Roman"/>
                <w:color w:val="000000"/>
                <w:kern w:val="0"/>
                <w:szCs w:val="20"/>
                <w14:ligatures w14:val="none"/>
              </w:rPr>
            </w:pPr>
            <w:r w:rsidRPr="00626362">
              <w:rPr>
                <w:rFonts w:ascii="Aptos Narrow" w:eastAsia="Times New Roman" w:hAnsi="Aptos Narrow" w:cs="Times New Roman"/>
                <w:color w:val="000000"/>
                <w:kern w:val="0"/>
                <w:szCs w:val="20"/>
                <w14:ligatures w14:val="none"/>
              </w:rPr>
              <w:t>Avg hours saved per week via self-service</w:t>
            </w:r>
          </w:p>
        </w:tc>
      </w:tr>
      <w:tr w:rsidR="00626362" w:rsidRPr="00413C4B" w14:paraId="5CB553ED" w14:textId="77777777" w:rsidTr="00F31945">
        <w:trPr>
          <w:gridAfter w:val="1"/>
          <w:wAfter w:w="2060" w:type="dxa"/>
          <w:trHeight w:val="288"/>
        </w:trPr>
        <w:tc>
          <w:tcPr>
            <w:tcW w:w="3420" w:type="dxa"/>
            <w:tcBorders>
              <w:top w:val="nil"/>
              <w:left w:val="nil"/>
              <w:right w:val="nil"/>
            </w:tcBorders>
            <w:noWrap/>
            <w:vAlign w:val="bottom"/>
          </w:tcPr>
          <w:p w14:paraId="484B9707" w14:textId="3861408E" w:rsidR="00626362" w:rsidRPr="00626362" w:rsidRDefault="00626362" w:rsidP="00F31945">
            <w:pPr>
              <w:spacing w:before="40" w:after="0" w:line="240" w:lineRule="auto"/>
              <w:ind w:firstLine="160"/>
              <w:rPr>
                <w:rFonts w:ascii="Aptos Narrow" w:eastAsia="Times New Roman" w:hAnsi="Aptos Narrow" w:cs="Times New Roman"/>
                <w:color w:val="000000"/>
                <w:kern w:val="0"/>
                <w:szCs w:val="20"/>
                <w14:ligatures w14:val="none"/>
              </w:rPr>
            </w:pPr>
            <w:r w:rsidRPr="00626362">
              <w:rPr>
                <w:rFonts w:ascii="Aptos Narrow" w:eastAsia="Times New Roman" w:hAnsi="Aptos Narrow" w:cs="Times New Roman"/>
                <w:color w:val="000000"/>
                <w:kern w:val="0"/>
                <w:szCs w:val="20"/>
                <w14:ligatures w14:val="none"/>
              </w:rPr>
              <w:t>Vendor opportunity cost rate</w:t>
            </w:r>
          </w:p>
        </w:tc>
        <w:tc>
          <w:tcPr>
            <w:tcW w:w="270" w:type="dxa"/>
            <w:tcBorders>
              <w:top w:val="nil"/>
              <w:left w:val="nil"/>
              <w:right w:val="nil"/>
            </w:tcBorders>
            <w:noWrap/>
            <w:vAlign w:val="bottom"/>
          </w:tcPr>
          <w:p w14:paraId="16EDB53F" w14:textId="024DE5D9" w:rsidR="00626362" w:rsidRPr="00626362"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nil"/>
              <w:left w:val="nil"/>
              <w:right w:val="nil"/>
            </w:tcBorders>
            <w:noWrap/>
            <w:vAlign w:val="bottom"/>
          </w:tcPr>
          <w:p w14:paraId="384EF33A" w14:textId="561E9A20" w:rsidR="00626362" w:rsidRPr="00626362" w:rsidRDefault="00626362" w:rsidP="00626362">
            <w:pPr>
              <w:spacing w:before="40" w:after="0" w:line="240" w:lineRule="auto"/>
              <w:jc w:val="right"/>
              <w:rPr>
                <w:rFonts w:ascii="Aptos Narrow" w:eastAsia="Times New Roman" w:hAnsi="Aptos Narrow" w:cs="Times New Roman"/>
                <w:color w:val="000000"/>
                <w:kern w:val="0"/>
                <w:szCs w:val="20"/>
                <w14:ligatures w14:val="none"/>
              </w:rPr>
            </w:pPr>
            <w:r w:rsidRPr="00626362">
              <w:rPr>
                <w:rFonts w:ascii="Aptos Narrow" w:eastAsia="Times New Roman" w:hAnsi="Aptos Narrow" w:cs="Times New Roman"/>
                <w:color w:val="000000"/>
                <w:kern w:val="0"/>
                <w:szCs w:val="20"/>
                <w14:ligatures w14:val="none"/>
              </w:rPr>
              <w:t>50</w:t>
            </w:r>
          </w:p>
        </w:tc>
        <w:tc>
          <w:tcPr>
            <w:tcW w:w="270" w:type="dxa"/>
            <w:tcBorders>
              <w:top w:val="nil"/>
              <w:left w:val="nil"/>
              <w:bottom w:val="nil"/>
              <w:right w:val="nil"/>
            </w:tcBorders>
            <w:noWrap/>
            <w:vAlign w:val="bottom"/>
          </w:tcPr>
          <w:p w14:paraId="47D5BA88" w14:textId="7272E1B7" w:rsidR="00626362" w:rsidRPr="00626362"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tcPr>
          <w:p w14:paraId="6D61D1AA" w14:textId="17B8D1CA" w:rsidR="00626362" w:rsidRPr="00626362" w:rsidRDefault="00626362" w:rsidP="00626362">
            <w:pPr>
              <w:spacing w:before="40" w:after="0" w:line="240" w:lineRule="auto"/>
              <w:rPr>
                <w:rFonts w:ascii="Aptos Narrow" w:eastAsia="Times New Roman" w:hAnsi="Aptos Narrow" w:cs="Times New Roman"/>
                <w:color w:val="000000"/>
                <w:kern w:val="0"/>
                <w:szCs w:val="20"/>
                <w14:ligatures w14:val="none"/>
              </w:rPr>
            </w:pPr>
            <w:r w:rsidRPr="00626362">
              <w:rPr>
                <w:rFonts w:ascii="Aptos Narrow" w:eastAsia="Times New Roman" w:hAnsi="Aptos Narrow" w:cs="Times New Roman"/>
                <w:color w:val="000000"/>
                <w:kern w:val="0"/>
                <w:szCs w:val="20"/>
                <w14:ligatures w14:val="none"/>
              </w:rPr>
              <w:t>Conservative estimate</w:t>
            </w:r>
            <w:r w:rsidR="00AF2B5A">
              <w:rPr>
                <w:rFonts w:ascii="Aptos Narrow" w:eastAsia="Times New Roman" w:hAnsi="Aptos Narrow" w:cs="Times New Roman"/>
                <w:color w:val="000000"/>
                <w:kern w:val="0"/>
                <w:szCs w:val="20"/>
                <w14:ligatures w14:val="none"/>
              </w:rPr>
              <w:t xml:space="preserve"> of fungible vendor contribution recovery</w:t>
            </w:r>
          </w:p>
        </w:tc>
      </w:tr>
      <w:tr w:rsidR="00626362" w:rsidRPr="00413C4B" w14:paraId="5109AB08" w14:textId="77777777" w:rsidTr="00F31945">
        <w:trPr>
          <w:gridAfter w:val="1"/>
          <w:wAfter w:w="2060" w:type="dxa"/>
          <w:trHeight w:val="288"/>
        </w:trPr>
        <w:tc>
          <w:tcPr>
            <w:tcW w:w="3420" w:type="dxa"/>
            <w:tcBorders>
              <w:top w:val="nil"/>
              <w:left w:val="nil"/>
              <w:bottom w:val="double" w:sz="4" w:space="0" w:color="auto"/>
              <w:right w:val="nil"/>
            </w:tcBorders>
            <w:noWrap/>
            <w:vAlign w:val="bottom"/>
          </w:tcPr>
          <w:p w14:paraId="7D32530B" w14:textId="3DEC0AAD" w:rsidR="00626362" w:rsidRPr="00413C4B" w:rsidRDefault="00626362" w:rsidP="00F31945">
            <w:pPr>
              <w:spacing w:before="40" w:after="0" w:line="240" w:lineRule="auto"/>
              <w:ind w:firstLine="160"/>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Chewy capture rate</w:t>
            </w:r>
          </w:p>
        </w:tc>
        <w:tc>
          <w:tcPr>
            <w:tcW w:w="270" w:type="dxa"/>
            <w:tcBorders>
              <w:top w:val="nil"/>
              <w:left w:val="nil"/>
              <w:bottom w:val="double" w:sz="4" w:space="0" w:color="auto"/>
              <w:right w:val="nil"/>
            </w:tcBorders>
            <w:noWrap/>
            <w:vAlign w:val="bottom"/>
          </w:tcPr>
          <w:p w14:paraId="0EA8D6A5"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vAlign w:val="bottom"/>
          </w:tcPr>
          <w:p w14:paraId="7E3F1EFA" w14:textId="35C957AD" w:rsidR="00626362" w:rsidRPr="00413C4B" w:rsidRDefault="00626362" w:rsidP="00626362">
            <w:pPr>
              <w:spacing w:before="40" w:after="0" w:line="240" w:lineRule="auto"/>
              <w:jc w:val="right"/>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.15</w:t>
            </w:r>
          </w:p>
        </w:tc>
        <w:tc>
          <w:tcPr>
            <w:tcW w:w="270" w:type="dxa"/>
            <w:tcBorders>
              <w:top w:val="nil"/>
              <w:left w:val="nil"/>
              <w:bottom w:val="nil"/>
              <w:right w:val="nil"/>
            </w:tcBorders>
            <w:noWrap/>
            <w:vAlign w:val="bottom"/>
          </w:tcPr>
          <w:p w14:paraId="56944F03" w14:textId="079A15C4"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tcPr>
          <w:p w14:paraId="12A7F90A" w14:textId="5D95B366"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Attribution factor</w:t>
            </w:r>
            <w:r w:rsidR="00AF2B5A">
              <w:rPr>
                <w:rFonts w:ascii="Aptos Narrow" w:eastAsia="Times New Roman" w:hAnsi="Aptos Narrow" w:cs="Times New Roman"/>
                <w:color w:val="000000"/>
                <w:kern w:val="0"/>
                <w:szCs w:val="20"/>
                <w14:ligatures w14:val="none"/>
              </w:rPr>
              <w:t xml:space="preserve"> for Chewy enablement</w:t>
            </w:r>
          </w:p>
        </w:tc>
      </w:tr>
      <w:tr w:rsidR="00626362" w:rsidRPr="00413C4B" w14:paraId="2C920BAB" w14:textId="77777777" w:rsidTr="00F31945">
        <w:trPr>
          <w:gridAfter w:val="1"/>
          <w:wAfter w:w="2060" w:type="dxa"/>
          <w:trHeight w:val="288"/>
        </w:trPr>
        <w:tc>
          <w:tcPr>
            <w:tcW w:w="3420" w:type="dxa"/>
            <w:tcBorders>
              <w:top w:val="double" w:sz="4" w:space="0" w:color="auto"/>
              <w:left w:val="nil"/>
              <w:bottom w:val="nil"/>
              <w:right w:val="nil"/>
            </w:tcBorders>
            <w:noWrap/>
            <w:vAlign w:val="bottom"/>
          </w:tcPr>
          <w:p w14:paraId="357854F6" w14:textId="4051F27A" w:rsidR="00626362" w:rsidRPr="00413C4B" w:rsidRDefault="00F31945" w:rsidP="00626362">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Annual Op Ex</w:t>
            </w:r>
          </w:p>
        </w:tc>
        <w:tc>
          <w:tcPr>
            <w:tcW w:w="270" w:type="dxa"/>
            <w:tcBorders>
              <w:top w:val="double" w:sz="4" w:space="0" w:color="auto"/>
              <w:left w:val="nil"/>
              <w:bottom w:val="nil"/>
              <w:right w:val="nil"/>
            </w:tcBorders>
            <w:noWrap/>
            <w:vAlign w:val="bottom"/>
          </w:tcPr>
          <w:p w14:paraId="64602F5E"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tcPr>
          <w:p w14:paraId="5906065C" w14:textId="1E034055" w:rsidR="00626362" w:rsidRPr="00413C4B" w:rsidRDefault="00AF2B5A" w:rsidP="00F31945">
            <w:pPr>
              <w:spacing w:before="40" w:after="0" w:line="240" w:lineRule="auto"/>
              <w:jc w:val="right"/>
              <w:rPr>
                <w:rFonts w:ascii="Aptos Narrow" w:eastAsia="Times New Roman" w:hAnsi="Aptos Narrow" w:cs="Times New Roman"/>
                <w:color w:val="000000"/>
                <w:kern w:val="0"/>
                <w:szCs w:val="20"/>
                <w14:ligatures w14:val="none"/>
              </w:rPr>
            </w:pPr>
            <w:r w:rsidRPr="00F31945">
              <w:rPr>
                <w:rFonts w:ascii="Aptos Narrow" w:eastAsia="Times New Roman" w:hAnsi="Aptos Narrow" w:cs="Times New Roman"/>
                <w:i/>
                <w:iCs/>
                <w:color w:val="000000"/>
                <w:kern w:val="0"/>
                <w:szCs w:val="20"/>
                <w14:ligatures w14:val="none"/>
              </w:rPr>
              <w:t>458250</w:t>
            </w:r>
          </w:p>
        </w:tc>
        <w:tc>
          <w:tcPr>
            <w:tcW w:w="270" w:type="dxa"/>
            <w:tcBorders>
              <w:top w:val="nil"/>
              <w:left w:val="nil"/>
              <w:bottom w:val="nil"/>
              <w:right w:val="nil"/>
            </w:tcBorders>
            <w:noWrap/>
            <w:vAlign w:val="bottom"/>
          </w:tcPr>
          <w:p w14:paraId="572ECFC3"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tcPr>
          <w:p w14:paraId="39E54B99"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r>
      <w:tr w:rsidR="00626362" w:rsidRPr="00413C4B" w14:paraId="23A4A302" w14:textId="77777777" w:rsidTr="00F31945">
        <w:trPr>
          <w:gridAfter w:val="1"/>
          <w:wAfter w:w="2060" w:type="dxa"/>
          <w:trHeight w:val="288"/>
        </w:trPr>
        <w:tc>
          <w:tcPr>
            <w:tcW w:w="3420" w:type="dxa"/>
            <w:tcBorders>
              <w:top w:val="nil"/>
              <w:left w:val="nil"/>
              <w:bottom w:val="nil"/>
              <w:right w:val="nil"/>
            </w:tcBorders>
            <w:noWrap/>
            <w:vAlign w:val="bottom"/>
          </w:tcPr>
          <w:p w14:paraId="6CA50719"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270" w:type="dxa"/>
            <w:tcBorders>
              <w:top w:val="nil"/>
              <w:left w:val="nil"/>
              <w:bottom w:val="nil"/>
              <w:right w:val="nil"/>
            </w:tcBorders>
            <w:noWrap/>
            <w:vAlign w:val="bottom"/>
          </w:tcPr>
          <w:p w14:paraId="120E40D9"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tcPr>
          <w:p w14:paraId="47DA7490" w14:textId="77777777" w:rsidR="00626362" w:rsidRPr="00413C4B" w:rsidRDefault="00626362" w:rsidP="00F31945">
            <w:pPr>
              <w:spacing w:before="40" w:after="0" w:line="240" w:lineRule="auto"/>
              <w:jc w:val="right"/>
              <w:rPr>
                <w:rFonts w:ascii="Aptos Narrow" w:eastAsia="Times New Roman" w:hAnsi="Aptos Narrow" w:cs="Times New Roman"/>
                <w:color w:val="000000"/>
                <w:kern w:val="0"/>
                <w:szCs w:val="20"/>
                <w14:ligatures w14:val="none"/>
              </w:rPr>
            </w:pPr>
          </w:p>
        </w:tc>
        <w:tc>
          <w:tcPr>
            <w:tcW w:w="270" w:type="dxa"/>
            <w:tcBorders>
              <w:top w:val="nil"/>
              <w:left w:val="nil"/>
              <w:bottom w:val="nil"/>
              <w:right w:val="nil"/>
            </w:tcBorders>
            <w:noWrap/>
            <w:vAlign w:val="bottom"/>
          </w:tcPr>
          <w:p w14:paraId="22B686D7"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tcPr>
          <w:p w14:paraId="4F5FA75E"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r>
      <w:tr w:rsidR="00626362" w:rsidRPr="00413C4B" w14:paraId="435AE53A" w14:textId="77777777" w:rsidTr="00FC1C0B">
        <w:trPr>
          <w:gridAfter w:val="1"/>
          <w:wAfter w:w="2060" w:type="dxa"/>
          <w:trHeight w:val="288"/>
        </w:trPr>
        <w:tc>
          <w:tcPr>
            <w:tcW w:w="3420" w:type="dxa"/>
            <w:tcBorders>
              <w:top w:val="nil"/>
              <w:left w:val="nil"/>
              <w:bottom w:val="single" w:sz="4" w:space="0" w:color="auto"/>
              <w:right w:val="nil"/>
            </w:tcBorders>
            <w:noWrap/>
            <w:vAlign w:val="bottom"/>
            <w:hideMark/>
          </w:tcPr>
          <w:p w14:paraId="18281C62" w14:textId="65402A62" w:rsidR="00626362" w:rsidRPr="00413C4B" w:rsidRDefault="00F31945" w:rsidP="00F31945">
            <w:pPr>
              <w:spacing w:before="40" w:after="0" w:line="240" w:lineRule="auto"/>
              <w:ind w:leftChars="-10" w:hangingChars="10" w:hanging="20"/>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 xml:space="preserve">[3] </w:t>
            </w:r>
            <w:r w:rsidR="00FC1C0B">
              <w:rPr>
                <w:rFonts w:ascii="Aptos Narrow" w:eastAsia="Times New Roman" w:hAnsi="Aptos Narrow" w:cs="Times New Roman"/>
                <w:color w:val="000000"/>
                <w:kern w:val="0"/>
                <w:szCs w:val="20"/>
                <w14:ligatures w14:val="none"/>
              </w:rPr>
              <w:t>Enterprise Data Alignment</w:t>
            </w:r>
          </w:p>
        </w:tc>
        <w:tc>
          <w:tcPr>
            <w:tcW w:w="270" w:type="dxa"/>
            <w:tcBorders>
              <w:top w:val="nil"/>
              <w:left w:val="nil"/>
              <w:bottom w:val="single" w:sz="4" w:space="0" w:color="auto"/>
              <w:right w:val="nil"/>
            </w:tcBorders>
            <w:noWrap/>
            <w:vAlign w:val="bottom"/>
            <w:hideMark/>
          </w:tcPr>
          <w:p w14:paraId="55D59465" w14:textId="77777777" w:rsidR="00626362" w:rsidRPr="00413C4B" w:rsidRDefault="00626362" w:rsidP="00626362">
            <w:pPr>
              <w:spacing w:before="40" w:after="0" w:line="240" w:lineRule="auto"/>
              <w:ind w:firstLineChars="200" w:firstLine="400"/>
              <w:rPr>
                <w:rFonts w:ascii="Aptos Narrow" w:eastAsia="Times New Roman" w:hAnsi="Aptos Narrow" w:cs="Times New Roman"/>
                <w:color w:val="000000"/>
                <w:kern w:val="0"/>
                <w:szCs w:val="20"/>
                <w14:ligatures w14:val="none"/>
              </w:rPr>
            </w:pPr>
          </w:p>
        </w:tc>
        <w:tc>
          <w:tcPr>
            <w:tcW w:w="900" w:type="dxa"/>
            <w:tcBorders>
              <w:top w:val="nil"/>
              <w:left w:val="nil"/>
              <w:bottom w:val="single" w:sz="4" w:space="0" w:color="auto"/>
              <w:right w:val="nil"/>
            </w:tcBorders>
            <w:noWrap/>
            <w:vAlign w:val="bottom"/>
            <w:hideMark/>
          </w:tcPr>
          <w:p w14:paraId="7DAADAC0" w14:textId="4E0B73C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270" w:type="dxa"/>
            <w:tcBorders>
              <w:top w:val="nil"/>
              <w:left w:val="nil"/>
              <w:bottom w:val="single" w:sz="4" w:space="0" w:color="auto"/>
              <w:right w:val="nil"/>
            </w:tcBorders>
            <w:noWrap/>
            <w:vAlign w:val="bottom"/>
            <w:hideMark/>
          </w:tcPr>
          <w:p w14:paraId="1E9705D1"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single" w:sz="4" w:space="0" w:color="auto"/>
              <w:right w:val="nil"/>
            </w:tcBorders>
            <w:vAlign w:val="bottom"/>
            <w:hideMark/>
          </w:tcPr>
          <w:p w14:paraId="22C6E564" w14:textId="286577C8"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r>
      <w:tr w:rsidR="00FC1C0B" w:rsidRPr="00413C4B" w14:paraId="638FD8F7" w14:textId="77777777" w:rsidTr="00FC1C0B">
        <w:trPr>
          <w:gridAfter w:val="1"/>
          <w:wAfter w:w="2060" w:type="dxa"/>
          <w:trHeight w:val="288"/>
        </w:trPr>
        <w:tc>
          <w:tcPr>
            <w:tcW w:w="3420" w:type="dxa"/>
            <w:tcBorders>
              <w:top w:val="single" w:sz="4" w:space="0" w:color="auto"/>
              <w:left w:val="nil"/>
              <w:bottom w:val="single" w:sz="8" w:space="0" w:color="auto"/>
              <w:right w:val="nil"/>
            </w:tcBorders>
            <w:noWrap/>
            <w:vAlign w:val="bottom"/>
          </w:tcPr>
          <w:p w14:paraId="1FB6A74F" w14:textId="785ADE6E" w:rsidR="00FC1C0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tcPr>
          <w:p w14:paraId="3D3D42BD" w14:textId="51140EC2"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tcPr>
          <w:p w14:paraId="7236199C" w14:textId="0986F86E"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tcPr>
          <w:p w14:paraId="2081646B" w14:textId="19F5402C"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tcPr>
          <w:p w14:paraId="1EF62255" w14:textId="70AB91E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FC1C0B" w:rsidRPr="00413C4B" w14:paraId="556F0F5E" w14:textId="77777777" w:rsidTr="00FC1C0B">
        <w:trPr>
          <w:gridAfter w:val="1"/>
          <w:wAfter w:w="2060" w:type="dxa"/>
          <w:trHeight w:val="288"/>
        </w:trPr>
        <w:tc>
          <w:tcPr>
            <w:tcW w:w="3420" w:type="dxa"/>
            <w:tcBorders>
              <w:top w:val="single" w:sz="8" w:space="0" w:color="auto"/>
              <w:left w:val="nil"/>
              <w:bottom w:val="nil"/>
              <w:right w:val="nil"/>
            </w:tcBorders>
            <w:noWrap/>
            <w:hideMark/>
          </w:tcPr>
          <w:p w14:paraId="1118A8E1" w14:textId="61D07B2D"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Annual </w:t>
            </w:r>
            <w:r>
              <w:rPr>
                <w:rFonts w:ascii="Aptos Narrow" w:eastAsia="Times New Roman" w:hAnsi="Aptos Narrow" w:cs="Times New Roman"/>
                <w:color w:val="000000"/>
                <w:kern w:val="0"/>
                <w:szCs w:val="20"/>
                <w14:ligatures w14:val="none"/>
              </w:rPr>
              <w:t xml:space="preserve">Major </w:t>
            </w:r>
            <w:r w:rsidRPr="00413C4B">
              <w:rPr>
                <w:rFonts w:ascii="Aptos Narrow" w:eastAsia="Times New Roman" w:hAnsi="Aptos Narrow" w:cs="Times New Roman"/>
                <w:color w:val="000000"/>
                <w:kern w:val="0"/>
                <w:szCs w:val="20"/>
                <w14:ligatures w14:val="none"/>
              </w:rPr>
              <w:t>COE</w:t>
            </w:r>
            <w:r>
              <w:rPr>
                <w:rFonts w:ascii="Aptos Narrow" w:eastAsia="Times New Roman" w:hAnsi="Aptos Narrow" w:cs="Times New Roman"/>
                <w:color w:val="000000"/>
                <w:kern w:val="0"/>
                <w:szCs w:val="20"/>
                <w14:ligatures w14:val="none"/>
              </w:rPr>
              <w:t xml:space="preserve"> Events</w:t>
            </w:r>
          </w:p>
        </w:tc>
        <w:tc>
          <w:tcPr>
            <w:tcW w:w="270" w:type="dxa"/>
            <w:tcBorders>
              <w:top w:val="single" w:sz="8" w:space="0" w:color="auto"/>
              <w:left w:val="nil"/>
              <w:bottom w:val="nil"/>
              <w:right w:val="nil"/>
            </w:tcBorders>
            <w:noWrap/>
            <w:hideMark/>
          </w:tcPr>
          <w:p w14:paraId="7A138C29" w14:textId="77777777" w:rsidR="00FC1C0B" w:rsidRPr="00413C4B" w:rsidRDefault="00FC1C0B" w:rsidP="00FC1C0B">
            <w:pPr>
              <w:spacing w:before="40" w:after="0" w:line="240" w:lineRule="auto"/>
              <w:ind w:firstLineChars="100" w:firstLine="200"/>
              <w:jc w:val="right"/>
              <w:rPr>
                <w:rFonts w:ascii="Aptos Narrow" w:eastAsia="Times New Roman" w:hAnsi="Aptos Narrow" w:cs="Times New Roman"/>
                <w:color w:val="000000"/>
                <w:kern w:val="0"/>
                <w:szCs w:val="20"/>
                <w14:ligatures w14:val="none"/>
              </w:rPr>
            </w:pPr>
          </w:p>
        </w:tc>
        <w:tc>
          <w:tcPr>
            <w:tcW w:w="900" w:type="dxa"/>
            <w:tcBorders>
              <w:top w:val="single" w:sz="8" w:space="0" w:color="auto"/>
              <w:left w:val="nil"/>
              <w:bottom w:val="nil"/>
              <w:right w:val="nil"/>
            </w:tcBorders>
            <w:noWrap/>
            <w:hideMark/>
          </w:tcPr>
          <w:p w14:paraId="5AF50B96" w14:textId="32A71A65"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12</w:t>
            </w:r>
          </w:p>
        </w:tc>
        <w:tc>
          <w:tcPr>
            <w:tcW w:w="270" w:type="dxa"/>
            <w:tcBorders>
              <w:top w:val="single" w:sz="8" w:space="0" w:color="auto"/>
              <w:left w:val="nil"/>
              <w:bottom w:val="nil"/>
              <w:right w:val="nil"/>
            </w:tcBorders>
            <w:noWrap/>
            <w:hideMark/>
          </w:tcPr>
          <w:p w14:paraId="05CA5BBA"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single" w:sz="8" w:space="0" w:color="auto"/>
              <w:left w:val="nil"/>
              <w:bottom w:val="nil"/>
              <w:right w:val="nil"/>
            </w:tcBorders>
            <w:hideMark/>
          </w:tcPr>
          <w:p w14:paraId="3F2DA711" w14:textId="61AEF5E4"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Inventory</w:t>
            </w:r>
            <w:r w:rsidRPr="00413C4B">
              <w:rPr>
                <w:rFonts w:ascii="Aptos Narrow" w:eastAsia="Times New Roman" w:hAnsi="Aptos Narrow" w:cs="Times New Roman"/>
                <w:color w:val="000000"/>
                <w:kern w:val="0"/>
                <w:szCs w:val="20"/>
                <w14:ligatures w14:val="none"/>
              </w:rPr>
              <w:t xml:space="preserve"> efficiency gains, COE,</w:t>
            </w:r>
            <w:r>
              <w:rPr>
                <w:rFonts w:ascii="Aptos Narrow" w:eastAsia="Times New Roman" w:hAnsi="Aptos Narrow" w:cs="Times New Roman"/>
                <w:color w:val="000000"/>
                <w:kern w:val="0"/>
                <w:szCs w:val="20"/>
                <w14:ligatures w14:val="none"/>
              </w:rPr>
              <w:t xml:space="preserve"> reduced s</w:t>
            </w:r>
            <w:r w:rsidRPr="00413C4B">
              <w:rPr>
                <w:rFonts w:ascii="Aptos Narrow" w:eastAsia="Times New Roman" w:hAnsi="Aptos Narrow" w:cs="Times New Roman"/>
                <w:color w:val="000000"/>
                <w:kern w:val="0"/>
                <w:szCs w:val="20"/>
                <w14:ligatures w14:val="none"/>
              </w:rPr>
              <w:t>poila</w:t>
            </w:r>
            <w:r>
              <w:rPr>
                <w:rFonts w:ascii="Aptos Narrow" w:eastAsia="Times New Roman" w:hAnsi="Aptos Narrow" w:cs="Times New Roman"/>
                <w:color w:val="000000"/>
                <w:kern w:val="0"/>
                <w:szCs w:val="20"/>
                <w14:ligatures w14:val="none"/>
              </w:rPr>
              <w:t>ge</w:t>
            </w:r>
            <w:r w:rsidRPr="00413C4B">
              <w:rPr>
                <w:rFonts w:ascii="Aptos Narrow" w:eastAsia="Times New Roman" w:hAnsi="Aptos Narrow" w:cs="Times New Roman"/>
                <w:color w:val="000000"/>
                <w:kern w:val="0"/>
                <w:szCs w:val="20"/>
                <w14:ligatures w14:val="none"/>
              </w:rPr>
              <w:t>, NOP improvement</w:t>
            </w:r>
          </w:p>
        </w:tc>
      </w:tr>
      <w:tr w:rsidR="00FC1C0B" w:rsidRPr="00413C4B" w14:paraId="34CA6E3E" w14:textId="77777777" w:rsidTr="00F31945">
        <w:trPr>
          <w:gridAfter w:val="1"/>
          <w:wAfter w:w="2060" w:type="dxa"/>
          <w:trHeight w:val="288"/>
        </w:trPr>
        <w:tc>
          <w:tcPr>
            <w:tcW w:w="3420" w:type="dxa"/>
            <w:tcBorders>
              <w:top w:val="nil"/>
              <w:left w:val="nil"/>
              <w:bottom w:val="nil"/>
              <w:right w:val="nil"/>
            </w:tcBorders>
            <w:noWrap/>
            <w:hideMark/>
          </w:tcPr>
          <w:p w14:paraId="20AD5AF9" w14:textId="77777777" w:rsidR="00FC1C0B" w:rsidRPr="00413C4B" w:rsidRDefault="00FC1C0B" w:rsidP="00FC1C0B">
            <w:pPr>
              <w:spacing w:before="40" w:after="0" w:line="240" w:lineRule="auto"/>
              <w:ind w:firstLineChars="200" w:firstLine="4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Cost Avoidance per event</w:t>
            </w:r>
          </w:p>
        </w:tc>
        <w:tc>
          <w:tcPr>
            <w:tcW w:w="270" w:type="dxa"/>
            <w:tcBorders>
              <w:top w:val="nil"/>
              <w:left w:val="nil"/>
              <w:bottom w:val="nil"/>
              <w:right w:val="nil"/>
            </w:tcBorders>
            <w:noWrap/>
            <w:hideMark/>
          </w:tcPr>
          <w:p w14:paraId="3587C36C" w14:textId="77777777" w:rsidR="00FC1C0B" w:rsidRPr="00413C4B" w:rsidRDefault="00FC1C0B" w:rsidP="00FC1C0B">
            <w:pPr>
              <w:spacing w:before="40" w:after="0" w:line="240" w:lineRule="auto"/>
              <w:ind w:firstLineChars="200" w:firstLine="400"/>
              <w:jc w:val="right"/>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hideMark/>
          </w:tcPr>
          <w:p w14:paraId="3460CC38" w14:textId="3D9165F6"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415000</w:t>
            </w:r>
          </w:p>
        </w:tc>
        <w:tc>
          <w:tcPr>
            <w:tcW w:w="270" w:type="dxa"/>
            <w:tcBorders>
              <w:top w:val="nil"/>
              <w:left w:val="nil"/>
              <w:bottom w:val="nil"/>
              <w:right w:val="nil"/>
            </w:tcBorders>
            <w:noWrap/>
            <w:hideMark/>
          </w:tcPr>
          <w:p w14:paraId="00874CDA"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619BE5C4" w14:textId="62EDDF18"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Average </w:t>
            </w:r>
            <w:r>
              <w:rPr>
                <w:rFonts w:ascii="Aptos Narrow" w:eastAsia="Times New Roman" w:hAnsi="Aptos Narrow" w:cs="Times New Roman"/>
                <w:color w:val="000000"/>
                <w:kern w:val="0"/>
                <w:szCs w:val="20"/>
                <w14:ligatures w14:val="none"/>
              </w:rPr>
              <w:t>of high-impact events</w:t>
            </w:r>
          </w:p>
        </w:tc>
      </w:tr>
      <w:tr w:rsidR="00FC1C0B" w:rsidRPr="00413C4B" w14:paraId="571F58A7" w14:textId="77777777" w:rsidTr="00F31945">
        <w:trPr>
          <w:gridAfter w:val="1"/>
          <w:wAfter w:w="2060" w:type="dxa"/>
          <w:trHeight w:val="288"/>
        </w:trPr>
        <w:tc>
          <w:tcPr>
            <w:tcW w:w="3420" w:type="dxa"/>
            <w:tcBorders>
              <w:top w:val="nil"/>
              <w:left w:val="nil"/>
              <w:bottom w:val="nil"/>
              <w:right w:val="nil"/>
            </w:tcBorders>
            <w:noWrap/>
            <w:hideMark/>
          </w:tcPr>
          <w:p w14:paraId="54F3FDE4" w14:textId="139E86CC"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Annual </w:t>
            </w:r>
            <w:r>
              <w:rPr>
                <w:rFonts w:ascii="Aptos Narrow" w:eastAsia="Times New Roman" w:hAnsi="Aptos Narrow" w:cs="Times New Roman"/>
                <w:color w:val="000000"/>
                <w:kern w:val="0"/>
                <w:szCs w:val="20"/>
                <w14:ligatures w14:val="none"/>
              </w:rPr>
              <w:t xml:space="preserve">Large NPI </w:t>
            </w:r>
            <w:r w:rsidRPr="00413C4B">
              <w:rPr>
                <w:rFonts w:ascii="Aptos Narrow" w:eastAsia="Times New Roman" w:hAnsi="Aptos Narrow" w:cs="Times New Roman"/>
                <w:color w:val="000000"/>
                <w:kern w:val="0"/>
                <w:szCs w:val="20"/>
                <w14:ligatures w14:val="none"/>
              </w:rPr>
              <w:t>Events</w:t>
            </w:r>
          </w:p>
        </w:tc>
        <w:tc>
          <w:tcPr>
            <w:tcW w:w="270" w:type="dxa"/>
            <w:tcBorders>
              <w:top w:val="nil"/>
              <w:left w:val="nil"/>
              <w:bottom w:val="nil"/>
              <w:right w:val="nil"/>
            </w:tcBorders>
            <w:noWrap/>
            <w:hideMark/>
          </w:tcPr>
          <w:p w14:paraId="2F5FE49A" w14:textId="77777777" w:rsidR="00FC1C0B" w:rsidRPr="00413C4B" w:rsidRDefault="00FC1C0B" w:rsidP="00FC1C0B">
            <w:pPr>
              <w:spacing w:before="40" w:after="0" w:line="240" w:lineRule="auto"/>
              <w:ind w:firstLineChars="100" w:firstLine="200"/>
              <w:jc w:val="right"/>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hideMark/>
          </w:tcPr>
          <w:p w14:paraId="0CD1BA72"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10</w:t>
            </w:r>
          </w:p>
        </w:tc>
        <w:tc>
          <w:tcPr>
            <w:tcW w:w="270" w:type="dxa"/>
            <w:tcBorders>
              <w:top w:val="nil"/>
              <w:left w:val="nil"/>
              <w:bottom w:val="nil"/>
              <w:right w:val="nil"/>
            </w:tcBorders>
            <w:noWrap/>
            <w:hideMark/>
          </w:tcPr>
          <w:p w14:paraId="64EA5A5D"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0D998F69"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NPI/Catalog additions and product line unlocks.</w:t>
            </w:r>
          </w:p>
        </w:tc>
      </w:tr>
      <w:tr w:rsidR="00FC1C0B" w:rsidRPr="00413C4B" w14:paraId="2CD8054E" w14:textId="77777777" w:rsidTr="00F31945">
        <w:trPr>
          <w:gridAfter w:val="1"/>
          <w:wAfter w:w="2060" w:type="dxa"/>
          <w:trHeight w:val="288"/>
        </w:trPr>
        <w:tc>
          <w:tcPr>
            <w:tcW w:w="3420" w:type="dxa"/>
            <w:tcBorders>
              <w:top w:val="nil"/>
              <w:left w:val="nil"/>
              <w:bottom w:val="nil"/>
              <w:right w:val="nil"/>
            </w:tcBorders>
            <w:noWrap/>
            <w:hideMark/>
          </w:tcPr>
          <w:p w14:paraId="6898F0A2" w14:textId="77777777" w:rsidR="00FC1C0B" w:rsidRPr="00413C4B" w:rsidRDefault="00FC1C0B" w:rsidP="00FC1C0B">
            <w:pPr>
              <w:spacing w:before="40" w:after="0" w:line="240" w:lineRule="auto"/>
              <w:ind w:firstLineChars="200" w:firstLine="4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Incremental SKU revenue</w:t>
            </w:r>
          </w:p>
        </w:tc>
        <w:tc>
          <w:tcPr>
            <w:tcW w:w="270" w:type="dxa"/>
            <w:tcBorders>
              <w:top w:val="nil"/>
              <w:left w:val="nil"/>
              <w:bottom w:val="nil"/>
              <w:right w:val="nil"/>
            </w:tcBorders>
            <w:noWrap/>
            <w:hideMark/>
          </w:tcPr>
          <w:p w14:paraId="4E545B41" w14:textId="77777777" w:rsidR="00FC1C0B" w:rsidRPr="00413C4B" w:rsidRDefault="00FC1C0B" w:rsidP="00FC1C0B">
            <w:pPr>
              <w:spacing w:before="40" w:after="0" w:line="240" w:lineRule="auto"/>
              <w:ind w:firstLineChars="200" w:firstLine="400"/>
              <w:jc w:val="right"/>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hideMark/>
          </w:tcPr>
          <w:p w14:paraId="153DB5BE"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45000</w:t>
            </w:r>
          </w:p>
        </w:tc>
        <w:tc>
          <w:tcPr>
            <w:tcW w:w="270" w:type="dxa"/>
            <w:tcBorders>
              <w:top w:val="nil"/>
              <w:left w:val="nil"/>
              <w:bottom w:val="nil"/>
              <w:right w:val="nil"/>
            </w:tcBorders>
            <w:noWrap/>
            <w:hideMark/>
          </w:tcPr>
          <w:p w14:paraId="7B71E76D"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5BC843A5"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Average across In-Stock</w:t>
            </w:r>
          </w:p>
        </w:tc>
      </w:tr>
      <w:tr w:rsidR="00FC1C0B" w:rsidRPr="00413C4B" w14:paraId="0B917CA9" w14:textId="77777777" w:rsidTr="00F31945">
        <w:trPr>
          <w:gridAfter w:val="1"/>
          <w:wAfter w:w="2060" w:type="dxa"/>
          <w:trHeight w:val="288"/>
        </w:trPr>
        <w:tc>
          <w:tcPr>
            <w:tcW w:w="3420" w:type="dxa"/>
            <w:tcBorders>
              <w:top w:val="nil"/>
              <w:left w:val="nil"/>
              <w:bottom w:val="double" w:sz="4" w:space="0" w:color="auto"/>
              <w:right w:val="nil"/>
            </w:tcBorders>
            <w:noWrap/>
            <w:hideMark/>
          </w:tcPr>
          <w:p w14:paraId="76505E8B" w14:textId="082E8339"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Impact rate of</w:t>
            </w:r>
            <w:r>
              <w:rPr>
                <w:rFonts w:ascii="Aptos Narrow" w:eastAsia="Times New Roman" w:hAnsi="Aptos Narrow" w:cs="Times New Roman"/>
                <w:color w:val="000000"/>
                <w:kern w:val="0"/>
                <w:szCs w:val="20"/>
                <w14:ligatures w14:val="none"/>
              </w:rPr>
              <w:t xml:space="preserve"> opportunity cost + COE</w:t>
            </w:r>
          </w:p>
        </w:tc>
        <w:tc>
          <w:tcPr>
            <w:tcW w:w="270" w:type="dxa"/>
            <w:tcBorders>
              <w:top w:val="nil"/>
              <w:left w:val="nil"/>
              <w:bottom w:val="double" w:sz="4" w:space="0" w:color="auto"/>
              <w:right w:val="nil"/>
            </w:tcBorders>
            <w:noWrap/>
            <w:hideMark/>
          </w:tcPr>
          <w:p w14:paraId="0447F934"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hideMark/>
          </w:tcPr>
          <w:p w14:paraId="582FF95C" w14:textId="5FBD86C1"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0.</w:t>
            </w:r>
            <w:r>
              <w:rPr>
                <w:rFonts w:ascii="Aptos Narrow" w:eastAsia="Times New Roman" w:hAnsi="Aptos Narrow" w:cs="Times New Roman"/>
                <w:color w:val="000000"/>
                <w:kern w:val="0"/>
                <w:szCs w:val="20"/>
                <w14:ligatures w14:val="none"/>
              </w:rPr>
              <w:t>0625</w:t>
            </w:r>
          </w:p>
        </w:tc>
        <w:tc>
          <w:tcPr>
            <w:tcW w:w="270" w:type="dxa"/>
            <w:tcBorders>
              <w:top w:val="nil"/>
              <w:left w:val="nil"/>
              <w:bottom w:val="nil"/>
              <w:right w:val="nil"/>
            </w:tcBorders>
            <w:noWrap/>
            <w:hideMark/>
          </w:tcPr>
          <w:p w14:paraId="437E2479"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594A1EEE" w14:textId="7BDD012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Avg impact of CPFR activities – derived from weekly task proportion</w:t>
            </w:r>
          </w:p>
        </w:tc>
      </w:tr>
      <w:tr w:rsidR="00FC1C0B" w:rsidRPr="00413C4B" w14:paraId="588FBDA5" w14:textId="77777777" w:rsidTr="00F31945">
        <w:trPr>
          <w:gridAfter w:val="1"/>
          <w:wAfter w:w="2060" w:type="dxa"/>
          <w:trHeight w:val="300"/>
        </w:trPr>
        <w:tc>
          <w:tcPr>
            <w:tcW w:w="3420" w:type="dxa"/>
            <w:tcBorders>
              <w:top w:val="double" w:sz="4" w:space="0" w:color="auto"/>
              <w:left w:val="nil"/>
              <w:bottom w:val="nil"/>
              <w:right w:val="nil"/>
            </w:tcBorders>
            <w:noWrap/>
            <w:vAlign w:val="bottom"/>
            <w:hideMark/>
          </w:tcPr>
          <w:p w14:paraId="7E2C2707" w14:textId="5A42AF89"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Op</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Ex</w:t>
            </w:r>
          </w:p>
        </w:tc>
        <w:tc>
          <w:tcPr>
            <w:tcW w:w="270" w:type="dxa"/>
            <w:tcBorders>
              <w:top w:val="double" w:sz="4" w:space="0" w:color="auto"/>
              <w:left w:val="nil"/>
              <w:bottom w:val="nil"/>
              <w:right w:val="nil"/>
            </w:tcBorders>
            <w:noWrap/>
            <w:vAlign w:val="bottom"/>
            <w:hideMark/>
          </w:tcPr>
          <w:p w14:paraId="7EE2430E"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hideMark/>
          </w:tcPr>
          <w:p w14:paraId="493378AE" w14:textId="0D774FE2"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339375</w:t>
            </w:r>
          </w:p>
        </w:tc>
        <w:tc>
          <w:tcPr>
            <w:tcW w:w="270" w:type="dxa"/>
            <w:tcBorders>
              <w:top w:val="nil"/>
              <w:left w:val="nil"/>
              <w:bottom w:val="nil"/>
              <w:right w:val="nil"/>
            </w:tcBorders>
            <w:noWrap/>
            <w:vAlign w:val="bottom"/>
            <w:hideMark/>
          </w:tcPr>
          <w:p w14:paraId="56A98A25"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41258C9A"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r>
      <w:tr w:rsidR="00FC1C0B" w:rsidRPr="00413C4B" w14:paraId="441C73DA" w14:textId="77777777" w:rsidTr="00F31945">
        <w:trPr>
          <w:gridAfter w:val="1"/>
          <w:wAfter w:w="2060" w:type="dxa"/>
          <w:trHeight w:val="288"/>
        </w:trPr>
        <w:tc>
          <w:tcPr>
            <w:tcW w:w="3420" w:type="dxa"/>
            <w:tcBorders>
              <w:top w:val="nil"/>
              <w:left w:val="nil"/>
              <w:bottom w:val="nil"/>
              <w:right w:val="nil"/>
            </w:tcBorders>
            <w:noWrap/>
            <w:vAlign w:val="bottom"/>
            <w:hideMark/>
          </w:tcPr>
          <w:p w14:paraId="1D6B4AA5"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381B5E67"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c>
          <w:tcPr>
            <w:tcW w:w="900" w:type="dxa"/>
            <w:tcBorders>
              <w:top w:val="nil"/>
              <w:left w:val="nil"/>
              <w:bottom w:val="nil"/>
              <w:right w:val="nil"/>
            </w:tcBorders>
            <w:noWrap/>
            <w:vAlign w:val="bottom"/>
            <w:hideMark/>
          </w:tcPr>
          <w:p w14:paraId="0D0173AE"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0BBFA106"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c>
          <w:tcPr>
            <w:tcW w:w="5760" w:type="dxa"/>
            <w:tcBorders>
              <w:top w:val="nil"/>
              <w:left w:val="nil"/>
              <w:bottom w:val="nil"/>
              <w:right w:val="nil"/>
            </w:tcBorders>
            <w:vAlign w:val="bottom"/>
            <w:hideMark/>
          </w:tcPr>
          <w:p w14:paraId="5191093E"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r>
      <w:tr w:rsidR="00FC1C0B" w:rsidRPr="00413C4B" w14:paraId="05D1D897" w14:textId="77777777" w:rsidTr="00F31945">
        <w:trPr>
          <w:trHeight w:val="288"/>
        </w:trPr>
        <w:tc>
          <w:tcPr>
            <w:tcW w:w="12680" w:type="dxa"/>
            <w:gridSpan w:val="6"/>
            <w:tcBorders>
              <w:top w:val="nil"/>
              <w:left w:val="nil"/>
              <w:bottom w:val="nil"/>
              <w:right w:val="nil"/>
            </w:tcBorders>
            <w:noWrap/>
            <w:vAlign w:val="bottom"/>
            <w:hideMark/>
          </w:tcPr>
          <w:p w14:paraId="1295545B"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[4] Strategic Growth Enablement</w:t>
            </w:r>
          </w:p>
        </w:tc>
      </w:tr>
      <w:tr w:rsidR="00FC1C0B" w:rsidRPr="00413C4B" w14:paraId="68CEC4D7" w14:textId="77777777" w:rsidTr="00F31945">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2C7FD1A5"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3E9A75FE"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hideMark/>
          </w:tcPr>
          <w:p w14:paraId="46AD5CF3"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03D3C1A7"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hideMark/>
          </w:tcPr>
          <w:p w14:paraId="6DB8E24E"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FC1C0B" w:rsidRPr="00413C4B" w14:paraId="5C8426F7" w14:textId="77777777" w:rsidTr="00F31945">
        <w:trPr>
          <w:gridAfter w:val="1"/>
          <w:wAfter w:w="2060" w:type="dxa"/>
          <w:trHeight w:val="288"/>
        </w:trPr>
        <w:tc>
          <w:tcPr>
            <w:tcW w:w="3420" w:type="dxa"/>
            <w:tcBorders>
              <w:top w:val="nil"/>
              <w:left w:val="nil"/>
              <w:bottom w:val="nil"/>
              <w:right w:val="nil"/>
            </w:tcBorders>
            <w:noWrap/>
            <w:vAlign w:val="bottom"/>
            <w:hideMark/>
          </w:tcPr>
          <w:p w14:paraId="5F626BB5" w14:textId="77777777"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Analytic Opportunity</w:t>
            </w:r>
          </w:p>
        </w:tc>
        <w:tc>
          <w:tcPr>
            <w:tcW w:w="270" w:type="dxa"/>
            <w:tcBorders>
              <w:top w:val="nil"/>
              <w:left w:val="nil"/>
              <w:bottom w:val="nil"/>
              <w:right w:val="nil"/>
            </w:tcBorders>
            <w:noWrap/>
            <w:vAlign w:val="bottom"/>
            <w:hideMark/>
          </w:tcPr>
          <w:p w14:paraId="5DCAE567" w14:textId="77777777"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4BCF9AC7"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150000</w:t>
            </w:r>
          </w:p>
        </w:tc>
        <w:tc>
          <w:tcPr>
            <w:tcW w:w="270" w:type="dxa"/>
            <w:tcBorders>
              <w:top w:val="nil"/>
              <w:left w:val="nil"/>
              <w:bottom w:val="nil"/>
              <w:right w:val="nil"/>
            </w:tcBorders>
            <w:noWrap/>
            <w:vAlign w:val="bottom"/>
            <w:hideMark/>
          </w:tcPr>
          <w:p w14:paraId="76718F85"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7D9BC93D" w14:textId="130C111D"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Pro</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rata value of program contribution: future analytics opportunities</w:t>
            </w:r>
          </w:p>
        </w:tc>
      </w:tr>
      <w:tr w:rsidR="00FC1C0B" w:rsidRPr="00413C4B" w14:paraId="03BC4A30" w14:textId="77777777" w:rsidTr="00F31945">
        <w:trPr>
          <w:gridAfter w:val="1"/>
          <w:wAfter w:w="2060" w:type="dxa"/>
          <w:trHeight w:val="288"/>
        </w:trPr>
        <w:tc>
          <w:tcPr>
            <w:tcW w:w="3420" w:type="dxa"/>
            <w:tcBorders>
              <w:top w:val="nil"/>
              <w:left w:val="nil"/>
              <w:bottom w:val="nil"/>
              <w:right w:val="nil"/>
            </w:tcBorders>
            <w:noWrap/>
            <w:vAlign w:val="bottom"/>
            <w:hideMark/>
          </w:tcPr>
          <w:p w14:paraId="54D7AAAB" w14:textId="77777777"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AI/ML Opportunity </w:t>
            </w:r>
          </w:p>
        </w:tc>
        <w:tc>
          <w:tcPr>
            <w:tcW w:w="270" w:type="dxa"/>
            <w:tcBorders>
              <w:top w:val="nil"/>
              <w:left w:val="nil"/>
              <w:bottom w:val="nil"/>
              <w:right w:val="nil"/>
            </w:tcBorders>
            <w:noWrap/>
            <w:vAlign w:val="bottom"/>
            <w:hideMark/>
          </w:tcPr>
          <w:p w14:paraId="70BB5343" w14:textId="77777777"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5D7615D1"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375000</w:t>
            </w:r>
          </w:p>
        </w:tc>
        <w:tc>
          <w:tcPr>
            <w:tcW w:w="270" w:type="dxa"/>
            <w:tcBorders>
              <w:top w:val="nil"/>
              <w:left w:val="nil"/>
              <w:bottom w:val="nil"/>
              <w:right w:val="nil"/>
            </w:tcBorders>
            <w:noWrap/>
            <w:vAlign w:val="bottom"/>
            <w:hideMark/>
          </w:tcPr>
          <w:p w14:paraId="162FE319"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4627E656" w14:textId="20888DE1"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Pro</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rata value of program contribution: future AI/ML opportunities</w:t>
            </w:r>
          </w:p>
        </w:tc>
      </w:tr>
      <w:tr w:rsidR="00FC1C0B" w:rsidRPr="00413C4B" w14:paraId="7F276B70" w14:textId="77777777" w:rsidTr="00F31945">
        <w:trPr>
          <w:gridAfter w:val="1"/>
          <w:wAfter w:w="2060" w:type="dxa"/>
          <w:trHeight w:val="288"/>
        </w:trPr>
        <w:tc>
          <w:tcPr>
            <w:tcW w:w="3420" w:type="dxa"/>
            <w:tcBorders>
              <w:top w:val="nil"/>
              <w:left w:val="nil"/>
              <w:bottom w:val="double" w:sz="4" w:space="0" w:color="auto"/>
              <w:right w:val="nil"/>
            </w:tcBorders>
            <w:noWrap/>
            <w:vAlign w:val="bottom"/>
            <w:hideMark/>
          </w:tcPr>
          <w:p w14:paraId="6976B7DA" w14:textId="77777777"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Lean / 6σ</w:t>
            </w:r>
          </w:p>
        </w:tc>
        <w:tc>
          <w:tcPr>
            <w:tcW w:w="270" w:type="dxa"/>
            <w:tcBorders>
              <w:top w:val="nil"/>
              <w:left w:val="nil"/>
              <w:bottom w:val="double" w:sz="4" w:space="0" w:color="auto"/>
              <w:right w:val="nil"/>
            </w:tcBorders>
            <w:noWrap/>
            <w:vAlign w:val="bottom"/>
            <w:hideMark/>
          </w:tcPr>
          <w:p w14:paraId="0A780AAE" w14:textId="77777777"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vAlign w:val="bottom"/>
            <w:hideMark/>
          </w:tcPr>
          <w:p w14:paraId="3A3E5894"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100000</w:t>
            </w:r>
          </w:p>
        </w:tc>
        <w:tc>
          <w:tcPr>
            <w:tcW w:w="270" w:type="dxa"/>
            <w:tcBorders>
              <w:top w:val="nil"/>
              <w:left w:val="nil"/>
              <w:bottom w:val="nil"/>
              <w:right w:val="nil"/>
            </w:tcBorders>
            <w:noWrap/>
            <w:vAlign w:val="bottom"/>
            <w:hideMark/>
          </w:tcPr>
          <w:p w14:paraId="04D8F56B"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124BC092" w14:textId="46216981"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Pro</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 xml:space="preserve">rata value of program </w:t>
            </w:r>
            <w:proofErr w:type="gramStart"/>
            <w:r w:rsidRPr="00413C4B">
              <w:rPr>
                <w:rFonts w:ascii="Aptos Narrow" w:eastAsia="Times New Roman" w:hAnsi="Aptos Narrow" w:cs="Times New Roman"/>
                <w:color w:val="000000"/>
                <w:kern w:val="0"/>
                <w:szCs w:val="20"/>
                <w14:ligatures w14:val="none"/>
              </w:rPr>
              <w:t>contribution :</w:t>
            </w:r>
            <w:proofErr w:type="gramEnd"/>
            <w:r w:rsidRPr="00413C4B">
              <w:rPr>
                <w:rFonts w:ascii="Aptos Narrow" w:eastAsia="Times New Roman" w:hAnsi="Aptos Narrow" w:cs="Times New Roman"/>
                <w:color w:val="000000"/>
                <w:kern w:val="0"/>
                <w:szCs w:val="20"/>
                <w14:ligatures w14:val="none"/>
              </w:rPr>
              <w:t xml:space="preserve"> future Lean / 6σ opportunities</w:t>
            </w:r>
          </w:p>
        </w:tc>
      </w:tr>
      <w:tr w:rsidR="00FC1C0B" w:rsidRPr="00413C4B" w14:paraId="6AC24F2C" w14:textId="77777777" w:rsidTr="00F31945">
        <w:trPr>
          <w:gridAfter w:val="1"/>
          <w:wAfter w:w="2060" w:type="dxa"/>
          <w:trHeight w:val="300"/>
        </w:trPr>
        <w:tc>
          <w:tcPr>
            <w:tcW w:w="3420" w:type="dxa"/>
            <w:tcBorders>
              <w:top w:val="double" w:sz="4" w:space="0" w:color="auto"/>
              <w:left w:val="nil"/>
              <w:bottom w:val="nil"/>
              <w:right w:val="nil"/>
            </w:tcBorders>
            <w:noWrap/>
            <w:vAlign w:val="bottom"/>
            <w:hideMark/>
          </w:tcPr>
          <w:p w14:paraId="09FB8AC8" w14:textId="0A0651A3"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Cap</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Ex Conversion</w:t>
            </w:r>
          </w:p>
        </w:tc>
        <w:tc>
          <w:tcPr>
            <w:tcW w:w="270" w:type="dxa"/>
            <w:tcBorders>
              <w:top w:val="double" w:sz="4" w:space="0" w:color="auto"/>
              <w:left w:val="nil"/>
              <w:bottom w:val="nil"/>
              <w:right w:val="nil"/>
            </w:tcBorders>
            <w:noWrap/>
            <w:vAlign w:val="bottom"/>
            <w:hideMark/>
          </w:tcPr>
          <w:p w14:paraId="1207D973"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hideMark/>
          </w:tcPr>
          <w:p w14:paraId="522DCC7F"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625000</w:t>
            </w:r>
          </w:p>
        </w:tc>
        <w:tc>
          <w:tcPr>
            <w:tcW w:w="270" w:type="dxa"/>
            <w:tcBorders>
              <w:top w:val="nil"/>
              <w:left w:val="nil"/>
              <w:bottom w:val="nil"/>
              <w:right w:val="nil"/>
            </w:tcBorders>
            <w:noWrap/>
            <w:vAlign w:val="bottom"/>
            <w:hideMark/>
          </w:tcPr>
          <w:p w14:paraId="420AF50F"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396820E2"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r>
    </w:tbl>
    <w:p w14:paraId="0CE947E9" w14:textId="77777777" w:rsidR="005642B2" w:rsidRDefault="005642B2">
      <w:pPr>
        <w:spacing w:before="0" w:after="160" w:line="278" w:lineRule="auto"/>
        <w:rPr>
          <w:rFonts w:asciiTheme="majorHAnsi" w:eastAsiaTheme="majorEastAsia" w:hAnsiTheme="majorHAnsi" w:cstheme="majorBidi"/>
          <w:b/>
          <w:sz w:val="22"/>
          <w:szCs w:val="40"/>
        </w:rPr>
      </w:pPr>
      <w:r>
        <w:br w:type="page"/>
      </w:r>
    </w:p>
    <w:p w14:paraId="08675B5A" w14:textId="5A0F02BF" w:rsidR="00E2756F" w:rsidRPr="00E2756F" w:rsidRDefault="00B951AE" w:rsidP="00E2756F">
      <w:pPr>
        <w:pStyle w:val="Heading1"/>
      </w:pPr>
      <w:r>
        <w:lastRenderedPageBreak/>
        <w:t>Appendix 2: Case Studies</w:t>
      </w:r>
    </w:p>
    <w:p w14:paraId="002832D0" w14:textId="3CD77587" w:rsidR="00E2756F" w:rsidRPr="00E2756F" w:rsidRDefault="00E2756F" w:rsidP="00E2756F">
      <w:pPr>
        <w:pStyle w:val="Heading2"/>
      </w:pPr>
      <w:r w:rsidRPr="00E2756F">
        <w:t>Survey Methodology &amp; Scope</w:t>
      </w:r>
    </w:p>
    <w:p w14:paraId="4A97ACE8" w14:textId="6BACEB36" w:rsidR="00E2756F" w:rsidRPr="003C2571" w:rsidRDefault="00E2756F" w:rsidP="00E2756F">
      <w:r w:rsidRPr="00E2756F">
        <w:t>Subject matter expert interviews were conducted with senior In-Stock Managers managing relationships with major</w:t>
      </w:r>
      <w:r w:rsidR="003C2571">
        <w:t xml:space="preserve"> </w:t>
      </w:r>
      <w:r w:rsidR="005642B2">
        <w:t>vendor</w:t>
      </w:r>
      <w:r w:rsidRPr="00E2756F">
        <w:t>s and direct distributors. The ISMs surveyed collectively represent substantial CPFR program scope spanning</w:t>
      </w:r>
      <w:r w:rsidR="003C2571">
        <w:t xml:space="preserve"> a </w:t>
      </w:r>
      <w:r w:rsidR="00C21495">
        <w:t>substantial portion</w:t>
      </w:r>
      <w:r w:rsidR="003C2571">
        <w:t xml:space="preserve"> of</w:t>
      </w:r>
      <w:r w:rsidR="005642B2">
        <w:t xml:space="preserve"> COGS and</w:t>
      </w:r>
      <w:r w:rsidR="003C2571">
        <w:t xml:space="preserve"> revenue</w:t>
      </w:r>
      <w:r w:rsidRPr="00E2756F">
        <w:t>. Interviews focused on quantifying operational burden, identifying data consistency challenges, and documenting vendor feedback regarding access preferences and collaborative planning friction.</w:t>
      </w:r>
    </w:p>
    <w:p w14:paraId="3A0ECB87" w14:textId="77777777" w:rsidR="003C2571" w:rsidRDefault="00E2756F" w:rsidP="003C2571">
      <w:pPr>
        <w:pStyle w:val="Heading2"/>
      </w:pPr>
      <w:r w:rsidRPr="00E2756F">
        <w:t>1. Manual Coordination Overhead &amp; Operational Burden</w:t>
      </w:r>
    </w:p>
    <w:p w14:paraId="3E10A060" w14:textId="48A0CA48" w:rsidR="00E2756F" w:rsidRPr="003C2571" w:rsidRDefault="00E2756F" w:rsidP="003C2571">
      <w:pPr>
        <w:pStyle w:val="Heading3"/>
        <w:rPr>
          <w:sz w:val="22"/>
          <w:szCs w:val="32"/>
        </w:rPr>
      </w:pPr>
      <w:r w:rsidRPr="00E2756F">
        <w:t>Time Investment in Data Preparation and Validation</w:t>
      </w:r>
    </w:p>
    <w:p w14:paraId="59B97902" w14:textId="77777777" w:rsidR="003C2571" w:rsidRDefault="00E2756F" w:rsidP="00E2756F">
      <w:pPr>
        <w:rPr>
          <w:szCs w:val="20"/>
        </w:rPr>
      </w:pPr>
      <w:r w:rsidRPr="00E2756F">
        <w:rPr>
          <w:szCs w:val="20"/>
        </w:rPr>
        <w:t>ISMs report consistent weekly time burdens associated with CPFR data preparation, validation, and correction of errors (COE):</w:t>
      </w:r>
    </w:p>
    <w:p w14:paraId="0CC2599C" w14:textId="49C42276" w:rsidR="003C2571" w:rsidRDefault="00E2756F" w:rsidP="003C2571">
      <w:pPr>
        <w:pStyle w:val="ListParagraph"/>
        <w:numPr>
          <w:ilvl w:val="0"/>
          <w:numId w:val="1"/>
        </w:numPr>
        <w:tabs>
          <w:tab w:val="clear" w:pos="720"/>
        </w:tabs>
        <w:ind w:left="270" w:hanging="180"/>
        <w:rPr>
          <w:szCs w:val="20"/>
        </w:rPr>
      </w:pPr>
      <w:r w:rsidRPr="003C2571">
        <w:rPr>
          <w:b/>
          <w:bCs/>
          <w:szCs w:val="20"/>
        </w:rPr>
        <w:t>1-2 hours per week</w:t>
      </w:r>
      <w:r w:rsidRPr="003C2571">
        <w:rPr>
          <w:szCs w:val="20"/>
        </w:rPr>
        <w:t xml:space="preserve">: Typical for relationships with stable data flows and mature </w:t>
      </w:r>
      <w:r w:rsidR="005642B2">
        <w:rPr>
          <w:szCs w:val="20"/>
        </w:rPr>
        <w:t xml:space="preserve">current-state </w:t>
      </w:r>
      <w:r w:rsidRPr="003C2571">
        <w:rPr>
          <w:szCs w:val="20"/>
        </w:rPr>
        <w:t>CPFR processes</w:t>
      </w:r>
    </w:p>
    <w:p w14:paraId="20D729CC" w14:textId="77777777" w:rsidR="003C2571" w:rsidRDefault="00E2756F" w:rsidP="003C2571">
      <w:pPr>
        <w:pStyle w:val="ListParagraph"/>
        <w:numPr>
          <w:ilvl w:val="0"/>
          <w:numId w:val="1"/>
        </w:numPr>
        <w:tabs>
          <w:tab w:val="clear" w:pos="720"/>
        </w:tabs>
        <w:ind w:left="270" w:hanging="180"/>
        <w:rPr>
          <w:szCs w:val="20"/>
        </w:rPr>
      </w:pPr>
      <w:r w:rsidRPr="003C2571">
        <w:rPr>
          <w:b/>
          <w:bCs/>
          <w:szCs w:val="20"/>
        </w:rPr>
        <w:t>2-3 hours per week</w:t>
      </w:r>
      <w:r w:rsidRPr="003C2571">
        <w:rPr>
          <w:szCs w:val="20"/>
        </w:rPr>
        <w:t>: Common where improved consistency and reduced COE would yield measurable impact</w:t>
      </w:r>
    </w:p>
    <w:p w14:paraId="7B39061B" w14:textId="77777777" w:rsidR="003C2571" w:rsidRDefault="00E2756F" w:rsidP="00E2756F">
      <w:pPr>
        <w:pStyle w:val="ListParagraph"/>
        <w:numPr>
          <w:ilvl w:val="0"/>
          <w:numId w:val="1"/>
        </w:numPr>
        <w:tabs>
          <w:tab w:val="clear" w:pos="720"/>
        </w:tabs>
        <w:ind w:left="270" w:hanging="180"/>
        <w:rPr>
          <w:szCs w:val="20"/>
        </w:rPr>
      </w:pPr>
      <w:r w:rsidRPr="003C2571">
        <w:rPr>
          <w:b/>
          <w:bCs/>
          <w:szCs w:val="20"/>
        </w:rPr>
        <w:t>5+ hours per week</w:t>
      </w:r>
      <w:r w:rsidRPr="003C2571">
        <w:rPr>
          <w:szCs w:val="20"/>
        </w:rPr>
        <w:t>: Reported in cases where email-based data exchange creates unnecessary churn and where CPFR consistency, availability, or COE issues compound</w:t>
      </w:r>
    </w:p>
    <w:p w14:paraId="7145E3E1" w14:textId="5E532505" w:rsidR="00E2756F" w:rsidRPr="00E2756F" w:rsidRDefault="00E2756F" w:rsidP="003C2571">
      <w:pPr>
        <w:ind w:left="90"/>
        <w:rPr>
          <w:szCs w:val="20"/>
        </w:rPr>
      </w:pPr>
      <w:r w:rsidRPr="003C2571">
        <w:rPr>
          <w:szCs w:val="20"/>
        </w:rPr>
        <w:t>These time investments represent capacity diverted from strategic vendor collaboration, root-cause analysis, and proactive planning work.</w:t>
      </w:r>
    </w:p>
    <w:p w14:paraId="21441CF6" w14:textId="1FF9CC00" w:rsidR="00E2756F" w:rsidRPr="00E2756F" w:rsidRDefault="00E2756F" w:rsidP="003C2571">
      <w:pPr>
        <w:pStyle w:val="Heading3"/>
      </w:pPr>
      <w:r w:rsidRPr="00E2756F">
        <w:t>End-of-Period Escalations</w:t>
      </w:r>
    </w:p>
    <w:p w14:paraId="23D3EF36" w14:textId="23BD0D05" w:rsidR="00E2756F" w:rsidRPr="00E2756F" w:rsidRDefault="00E2756F" w:rsidP="003C2571">
      <w:r w:rsidRPr="00E2756F">
        <w:t>Transportation and MOQ</w:t>
      </w:r>
      <w:r w:rsidR="005642B2">
        <w:t xml:space="preserve"> mismatch</w:t>
      </w:r>
      <w:r w:rsidRPr="00E2756F">
        <w:t xml:space="preserve"> issues create predictable escalation patterns. ISMs report spending </w:t>
      </w:r>
      <w:r w:rsidR="003C2571">
        <w:t xml:space="preserve">up to </w:t>
      </w:r>
      <w:r w:rsidRPr="003C2571">
        <w:rPr>
          <w:b/>
          <w:bCs/>
        </w:rPr>
        <w:t>2 days out of</w:t>
      </w:r>
      <w:r w:rsidR="005642B2">
        <w:rPr>
          <w:b/>
          <w:bCs/>
        </w:rPr>
        <w:t xml:space="preserve"> </w:t>
      </w:r>
      <w:r w:rsidR="001E3B13">
        <w:rPr>
          <w:b/>
          <w:bCs/>
        </w:rPr>
        <w:t>certain</w:t>
      </w:r>
      <w:r w:rsidRPr="003C2571">
        <w:rPr>
          <w:b/>
          <w:bCs/>
        </w:rPr>
        <w:t xml:space="preserve"> week</w:t>
      </w:r>
      <w:r w:rsidR="005642B2">
        <w:rPr>
          <w:b/>
          <w:bCs/>
        </w:rPr>
        <w:t>s</w:t>
      </w:r>
      <w:r w:rsidRPr="00E2756F">
        <w:t xml:space="preserve"> rectifying MOQ and transportation constraints that surface at period boundaries (month-end, quarter-end). While improving visibility around these issues extends beyond the initial CPFR platform scope, the frequency and impact of these escalations underscore the value of incremental feature </w:t>
      </w:r>
      <w:r w:rsidR="001E3B13">
        <w:t>that can be added</w:t>
      </w:r>
      <w:r w:rsidRPr="00E2756F">
        <w:t xml:space="preserve"> once foundational portal infrastructure is </w:t>
      </w:r>
      <w:r w:rsidR="001E3B13">
        <w:t>in place</w:t>
      </w:r>
      <w:r w:rsidRPr="00E2756F">
        <w:t>.</w:t>
      </w:r>
    </w:p>
    <w:p w14:paraId="7B8483F0" w14:textId="7D5551FE" w:rsidR="00E2756F" w:rsidRPr="00E2756F" w:rsidRDefault="00E2756F" w:rsidP="003C2571">
      <w:pPr>
        <w:pStyle w:val="Heading3"/>
      </w:pPr>
      <w:r w:rsidRPr="00E2756F">
        <w:t>Discontinued SKU Management</w:t>
      </w:r>
    </w:p>
    <w:p w14:paraId="25C68BB2" w14:textId="75E1C902" w:rsidR="00E2756F" w:rsidRPr="00E2756F" w:rsidRDefault="00E2756F" w:rsidP="003C2571">
      <w:r w:rsidRPr="00E2756F">
        <w:t xml:space="preserve">Substantial ISM time is consumed rectifying discontinued SKU status and cleanup. This represents </w:t>
      </w:r>
      <w:r w:rsidR="001E3B13">
        <w:t xml:space="preserve">a </w:t>
      </w:r>
      <w:r w:rsidRPr="00E2756F">
        <w:t>recurring</w:t>
      </w:r>
      <w:r w:rsidR="001E3B13">
        <w:t xml:space="preserve"> risk of pricing mismatches and</w:t>
      </w:r>
      <w:r w:rsidRPr="00E2756F">
        <w:t xml:space="preserve"> operational friction that could be streamlined through improved data visibility and self-service capabilities.</w:t>
      </w:r>
    </w:p>
    <w:p w14:paraId="4DE6D142" w14:textId="052FE745" w:rsidR="00E2756F" w:rsidRPr="00E2756F" w:rsidRDefault="00E2756F" w:rsidP="003C2571">
      <w:pPr>
        <w:pStyle w:val="Heading2"/>
      </w:pPr>
      <w:r w:rsidRPr="00E2756F">
        <w:t>2. Data Visibility &amp; Consistency Challenges</w:t>
      </w:r>
    </w:p>
    <w:p w14:paraId="53576D5B" w14:textId="411D2FDA" w:rsidR="00E2756F" w:rsidRPr="00E2756F" w:rsidRDefault="001E3B13" w:rsidP="003C2571">
      <w:pPr>
        <w:pStyle w:val="Heading3"/>
      </w:pPr>
      <w:r>
        <w:t>Non-Optimal Placement</w:t>
      </w:r>
      <w:r w:rsidR="00E2756F" w:rsidRPr="00E2756F">
        <w:t xml:space="preserve"> (NOP) Visibility</w:t>
      </w:r>
    </w:p>
    <w:p w14:paraId="32D20D84" w14:textId="0708E020" w:rsidR="00E2756F" w:rsidRPr="00E2756F" w:rsidRDefault="00E2756F" w:rsidP="00C373ED">
      <w:r w:rsidRPr="00E2756F">
        <w:t>NOP data requires enhanced visibility with daily (or more frequent) cadence to effectively track when corrections have been absorbed into planning cycles. Current weekly cadence creates delays in understanding whether corrective actions have taken effect, extending the feedback loop between issue identification validation</w:t>
      </w:r>
      <w:r w:rsidR="001E3B13">
        <w:t>, and further actions</w:t>
      </w:r>
      <w:r w:rsidRPr="00E2756F">
        <w:t>.</w:t>
      </w:r>
    </w:p>
    <w:p w14:paraId="3A6B7D64" w14:textId="11F9184E" w:rsidR="00E2756F" w:rsidRPr="00E2756F" w:rsidRDefault="00E2756F" w:rsidP="00C373ED">
      <w:pPr>
        <w:pStyle w:val="Heading3"/>
      </w:pPr>
      <w:r w:rsidRPr="00E2756F">
        <w:t>Future Availability Date (FAD) Lists</w:t>
      </w:r>
    </w:p>
    <w:p w14:paraId="0F328DDF" w14:textId="20E86970" w:rsidR="00E2756F" w:rsidRPr="00E2756F" w:rsidRDefault="00E2756F" w:rsidP="00E2756F">
      <w:pPr>
        <w:rPr>
          <w:szCs w:val="20"/>
        </w:rPr>
      </w:pPr>
      <w:r w:rsidRPr="00E2756F">
        <w:rPr>
          <w:szCs w:val="20"/>
        </w:rPr>
        <w:t>FAD lists signal to ordering automation when to pause orders until a specified future date. These require broader visibility—preferably real-time—to ensure updates are reflected immediately. Current fragmented visibility creates coordination gaps between vendor manufacturing schedules and Chewy ordering systems.</w:t>
      </w:r>
    </w:p>
    <w:p w14:paraId="464F3165" w14:textId="39E3A3B5" w:rsidR="00E2756F" w:rsidRPr="00C373ED" w:rsidRDefault="00E2756F" w:rsidP="00C373ED">
      <w:pPr>
        <w:pStyle w:val="Heading3"/>
      </w:pPr>
      <w:r w:rsidRPr="00E2756F">
        <w:t>New Item Forecasting</w:t>
      </w:r>
    </w:p>
    <w:p w14:paraId="6726BEE3" w14:textId="6FBBAC27" w:rsidR="00E2756F" w:rsidRPr="00E2756F" w:rsidRDefault="00E2756F" w:rsidP="00C373ED">
      <w:r w:rsidRPr="00E2756F">
        <w:t xml:space="preserve">New product introductions </w:t>
      </w:r>
      <w:r w:rsidR="001D1C59">
        <w:t xml:space="preserve">often </w:t>
      </w:r>
      <w:r w:rsidRPr="00E2756F">
        <w:t>require</w:t>
      </w:r>
      <w:r w:rsidR="001D1C59">
        <w:t xml:space="preserve"> off-cadence</w:t>
      </w:r>
      <w:r w:rsidRPr="00E2756F">
        <w:t xml:space="preserve"> forecast </w:t>
      </w:r>
      <w:r w:rsidR="001D1C59">
        <w:t>updates and more frequent refreshes</w:t>
      </w:r>
      <w:r w:rsidRPr="00E2756F">
        <w:t>. Typical NPI forecasting takes multiple cycles to stabilize, creating early-stage planning friction. While CPFR data access improvements may not directly accelerate NPI forecast generation, platform capabilities can support faster distribution once forecasts are available.</w:t>
      </w:r>
    </w:p>
    <w:p w14:paraId="4F7B742E" w14:textId="20CE9BE0" w:rsidR="00E2756F" w:rsidRPr="00E2756F" w:rsidRDefault="00E2756F" w:rsidP="00C373ED">
      <w:pPr>
        <w:pStyle w:val="Heading3"/>
      </w:pPr>
      <w:r w:rsidRPr="00E2756F">
        <w:lastRenderedPageBreak/>
        <w:t>Forecast Mismatch Thresholds &amp; Promotional Tensions</w:t>
      </w:r>
    </w:p>
    <w:p w14:paraId="31FB4B33" w14:textId="5127A877" w:rsidR="00E2756F" w:rsidRPr="00E2756F" w:rsidRDefault="00E2756F" w:rsidP="00C373ED">
      <w:r w:rsidRPr="00E2756F">
        <w:t>Forecast accuracy thresholds create significant financial exposure when misaligned with promotional sales goals. Threshold misses directly impact vendor payback guarantees, creating incentives that can drive inefficient inventory decisions.</w:t>
      </w:r>
    </w:p>
    <w:p w14:paraId="319DC27C" w14:textId="303332E6" w:rsidR="00E2756F" w:rsidRPr="00E2756F" w:rsidRDefault="00C373ED" w:rsidP="00C373ED">
      <w:r>
        <w:t>Past</w:t>
      </w:r>
      <w:r w:rsidR="00E2756F" w:rsidRPr="00E2756F">
        <w:t xml:space="preserve"> instance</w:t>
      </w:r>
      <w:r>
        <w:t>s</w:t>
      </w:r>
      <w:r w:rsidR="00E2756F" w:rsidRPr="00E2756F">
        <w:t xml:space="preserve"> of threshold-driven forecast mismatch </w:t>
      </w:r>
      <w:r w:rsidR="001D1C59">
        <w:t xml:space="preserve">have </w:t>
      </w:r>
      <w:r w:rsidR="00E2756F" w:rsidRPr="00E2756F">
        <w:t xml:space="preserve">resulted in approximately </w:t>
      </w:r>
      <w:r w:rsidR="00E2756F" w:rsidRPr="001D1C59">
        <w:rPr>
          <w:b/>
          <w:bCs/>
        </w:rPr>
        <w:t>$5 million in unwarranted buy-up</w:t>
      </w:r>
      <w:r w:rsidR="00E2756F" w:rsidRPr="00E2756F">
        <w:t xml:space="preserve"> due to unclear visibility into forecast accuracy relative to promotional expectations. Based on analysis of recurring threshold miss patterns, this issue class represents an estimated </w:t>
      </w:r>
      <w:r w:rsidR="00E2756F" w:rsidRPr="001D1C59">
        <w:rPr>
          <w:b/>
          <w:bCs/>
        </w:rPr>
        <w:t>$15 million annually</w:t>
      </w:r>
      <w:r w:rsidR="00E2756F" w:rsidRPr="00E2756F">
        <w:t xml:space="preserve"> in avoidable cost if not corrected through improved data visibility and governance.</w:t>
      </w:r>
    </w:p>
    <w:p w14:paraId="0C3ACBAB" w14:textId="77777777" w:rsidR="00E2756F" w:rsidRPr="00E2756F" w:rsidRDefault="00E2756F" w:rsidP="00C373ED">
      <w:r w:rsidRPr="00E2756F">
        <w:t>The structural tension between promotional incentives (which increase buy-up pressure) and in-stock efficiency goals (which prioritize inventory optimization) creates recurring exposure. Major vendor relationships experience this dynamic at least annually, making improved forecast visibility and consistent data sharing critical to reducing financial waste.</w:t>
      </w:r>
    </w:p>
    <w:p w14:paraId="0CF7AB1E" w14:textId="5C24465C" w:rsidR="00E2756F" w:rsidRPr="00E2756F" w:rsidRDefault="00E2756F" w:rsidP="00C373ED">
      <w:pPr>
        <w:pStyle w:val="Heading2"/>
      </w:pPr>
      <w:r w:rsidRPr="00E2756F">
        <w:t>3. Vendor Self-Service Preferences &amp; API Demand</w:t>
      </w:r>
    </w:p>
    <w:p w14:paraId="1B1E7A2E" w14:textId="21482BFB" w:rsidR="00E2756F" w:rsidRPr="00E2756F" w:rsidRDefault="00E2756F" w:rsidP="00C373ED">
      <w:pPr>
        <w:pStyle w:val="Heading3"/>
      </w:pPr>
      <w:r w:rsidRPr="00E2756F">
        <w:t>Direct Vendor Feedback: API Access Preference</w:t>
      </w:r>
    </w:p>
    <w:p w14:paraId="3750522E" w14:textId="622F346A" w:rsidR="00E2756F" w:rsidRPr="00E2756F" w:rsidRDefault="00E2756F" w:rsidP="00E2756F">
      <w:pPr>
        <w:rPr>
          <w:szCs w:val="20"/>
        </w:rPr>
      </w:pPr>
      <w:r w:rsidRPr="00E2756F">
        <w:rPr>
          <w:szCs w:val="20"/>
        </w:rPr>
        <w:t xml:space="preserve">In conference calls, </w:t>
      </w:r>
      <w:r w:rsidRPr="001D1C59">
        <w:rPr>
          <w:b/>
          <w:bCs/>
          <w:szCs w:val="20"/>
        </w:rPr>
        <w:t>Blue Buffalo</w:t>
      </w:r>
      <w:r w:rsidRPr="00E2756F">
        <w:rPr>
          <w:szCs w:val="20"/>
        </w:rPr>
        <w:t xml:space="preserve"> expressed distinct preference for API access to CPFR data, explicitly weighing this capability against the cost of VDS tenancy (3% of COGS up to $400K plus $250K). Blue Buffalo characterized current email-based CPFR data transmission as a "struggle" and indicated that API availability would be a significant decision factor in their vendor data services investment evaluation.</w:t>
      </w:r>
    </w:p>
    <w:p w14:paraId="1F6D906B" w14:textId="292B312C" w:rsidR="00E2756F" w:rsidRPr="00E2756F" w:rsidRDefault="00E2756F" w:rsidP="00E2756F">
      <w:pPr>
        <w:rPr>
          <w:szCs w:val="20"/>
        </w:rPr>
      </w:pPr>
      <w:r w:rsidRPr="00E2756F">
        <w:rPr>
          <w:szCs w:val="20"/>
        </w:rPr>
        <w:t xml:space="preserve">This preference echoes previous statements from </w:t>
      </w:r>
      <w:r w:rsidRPr="00C373ED">
        <w:rPr>
          <w:b/>
          <w:bCs/>
          <w:szCs w:val="20"/>
        </w:rPr>
        <w:t>Mars</w:t>
      </w:r>
      <w:r w:rsidRPr="00E2756F">
        <w:rPr>
          <w:szCs w:val="20"/>
        </w:rPr>
        <w:t xml:space="preserve"> and </w:t>
      </w:r>
      <w:r w:rsidRPr="00C373ED">
        <w:rPr>
          <w:b/>
          <w:bCs/>
          <w:szCs w:val="20"/>
        </w:rPr>
        <w:t>Nestle-Purina</w:t>
      </w:r>
      <w:r w:rsidRPr="00E2756F">
        <w:rPr>
          <w:szCs w:val="20"/>
        </w:rPr>
        <w:t>—the two largest vendors in the CPFR program. The consistency of this feedback across major vendor relationships indicates that API access is not an isolated request but a systematic preference among sophisticated vendor partners</w:t>
      </w:r>
      <w:r w:rsidR="001D1C59">
        <w:rPr>
          <w:szCs w:val="20"/>
        </w:rPr>
        <w:t>, and much simpler to deploy via CPH portal.</w:t>
      </w:r>
    </w:p>
    <w:p w14:paraId="0882F3A6" w14:textId="6896251B" w:rsidR="00E2756F" w:rsidRPr="00E2756F" w:rsidRDefault="00E2756F" w:rsidP="00C373ED">
      <w:pPr>
        <w:pStyle w:val="Heading3"/>
      </w:pPr>
      <w:r w:rsidRPr="00E2756F">
        <w:t>Portal Access Prioritization</w:t>
      </w:r>
    </w:p>
    <w:p w14:paraId="34D25CB8" w14:textId="51C3FB17" w:rsidR="00E2756F" w:rsidRPr="00E2756F" w:rsidRDefault="00E2756F" w:rsidP="00E2756F">
      <w:pPr>
        <w:rPr>
          <w:szCs w:val="20"/>
        </w:rPr>
      </w:pPr>
      <w:r w:rsidRPr="00E2756F">
        <w:rPr>
          <w:szCs w:val="20"/>
        </w:rPr>
        <w:t>Vendor feedback emphasizes portal access over advanced thresholding or signaling features for initial rollout. Self-service data access is viewed as delivering greater immediate value in both vendor-Chewy alignment and collaborative follow-up than incremental analytical sophistication</w:t>
      </w:r>
      <w:r w:rsidR="001D1C59">
        <w:rPr>
          <w:szCs w:val="20"/>
        </w:rPr>
        <w:t xml:space="preserve"> (though this was a close second)</w:t>
      </w:r>
      <w:r w:rsidRPr="00E2756F">
        <w:rPr>
          <w:szCs w:val="20"/>
        </w:rPr>
        <w:t>. This suggests a clear implementation priority: establish reliable self-service access first, then expand analytical capabilities based on adoption patterns.</w:t>
      </w:r>
    </w:p>
    <w:p w14:paraId="5FFDD0E5" w14:textId="1D6A0485" w:rsidR="00E2756F" w:rsidRPr="00E2756F" w:rsidRDefault="00E2756F" w:rsidP="00C373ED">
      <w:pPr>
        <w:pStyle w:val="Heading3"/>
      </w:pPr>
      <w:r w:rsidRPr="00E2756F">
        <w:t>Daily Data Cadence Requirements</w:t>
      </w:r>
    </w:p>
    <w:p w14:paraId="2743DDE0" w14:textId="7F3A8354" w:rsidR="00E2756F" w:rsidRPr="00E2756F" w:rsidRDefault="00E2756F" w:rsidP="00E2756F">
      <w:pPr>
        <w:rPr>
          <w:szCs w:val="20"/>
        </w:rPr>
      </w:pPr>
      <w:r w:rsidRPr="00E2756F">
        <w:rPr>
          <w:szCs w:val="20"/>
        </w:rPr>
        <w:t xml:space="preserve">Vendors have explicitly requested </w:t>
      </w:r>
      <w:r w:rsidRPr="00C373ED">
        <w:rPr>
          <w:b/>
          <w:bCs/>
          <w:szCs w:val="20"/>
        </w:rPr>
        <w:t>daily-available data</w:t>
      </w:r>
      <w:r w:rsidRPr="00E2756F">
        <w:rPr>
          <w:szCs w:val="20"/>
        </w:rPr>
        <w:t xml:space="preserve"> via portal, particularly for:</w:t>
      </w:r>
    </w:p>
    <w:p w14:paraId="71A39770" w14:textId="42EEF025" w:rsidR="00E2756F" w:rsidRPr="00C373ED" w:rsidRDefault="00E2756F" w:rsidP="00C373ED">
      <w:pPr>
        <w:pStyle w:val="ListParagraph"/>
        <w:numPr>
          <w:ilvl w:val="0"/>
          <w:numId w:val="12"/>
        </w:numPr>
        <w:ind w:left="270" w:hanging="180"/>
        <w:rPr>
          <w:szCs w:val="20"/>
        </w:rPr>
      </w:pPr>
      <w:r w:rsidRPr="00C373ED">
        <w:rPr>
          <w:szCs w:val="20"/>
        </w:rPr>
        <w:t>PDP out-of-stock (OOS) metrics</w:t>
      </w:r>
    </w:p>
    <w:p w14:paraId="2BF5A551" w14:textId="00818AEE" w:rsidR="00E2756F" w:rsidRPr="00C373ED" w:rsidRDefault="00E2756F" w:rsidP="00C373ED">
      <w:pPr>
        <w:pStyle w:val="ListParagraph"/>
        <w:numPr>
          <w:ilvl w:val="0"/>
          <w:numId w:val="12"/>
        </w:numPr>
        <w:ind w:left="270" w:hanging="180"/>
        <w:rPr>
          <w:szCs w:val="20"/>
        </w:rPr>
      </w:pPr>
      <w:r w:rsidRPr="00C373ED">
        <w:rPr>
          <w:szCs w:val="20"/>
        </w:rPr>
        <w:t>Fill rate performance</w:t>
      </w:r>
    </w:p>
    <w:p w14:paraId="09D3D132" w14:textId="22061A3C" w:rsidR="00E2756F" w:rsidRPr="00C373ED" w:rsidRDefault="00E2756F" w:rsidP="00C373ED">
      <w:pPr>
        <w:pStyle w:val="ListParagraph"/>
        <w:numPr>
          <w:ilvl w:val="0"/>
          <w:numId w:val="12"/>
        </w:numPr>
        <w:ind w:left="270" w:hanging="180"/>
        <w:rPr>
          <w:szCs w:val="20"/>
        </w:rPr>
      </w:pPr>
      <w:r w:rsidRPr="00C373ED">
        <w:rPr>
          <w:szCs w:val="20"/>
        </w:rPr>
        <w:t>Forecast updates</w:t>
      </w:r>
    </w:p>
    <w:p w14:paraId="4DA95944" w14:textId="27FE94EC" w:rsidR="006E4789" w:rsidRDefault="00E2756F" w:rsidP="00E2756F">
      <w:pPr>
        <w:rPr>
          <w:szCs w:val="20"/>
        </w:rPr>
      </w:pPr>
      <w:r w:rsidRPr="00E2756F">
        <w:rPr>
          <w:szCs w:val="20"/>
        </w:rPr>
        <w:t xml:space="preserve">Recovery cycles for PDP and fill rate issues often occur over days rather than weeks, making weekly data cadence insufficient for responsive corrective action. Daily availability is estimated to save approximately </w:t>
      </w:r>
      <w:r w:rsidRPr="001D1C59">
        <w:rPr>
          <w:b/>
          <w:bCs/>
          <w:szCs w:val="20"/>
        </w:rPr>
        <w:t xml:space="preserve">1 </w:t>
      </w:r>
      <w:r w:rsidR="001D1C59">
        <w:rPr>
          <w:b/>
          <w:bCs/>
          <w:szCs w:val="20"/>
        </w:rPr>
        <w:t xml:space="preserve">additional </w:t>
      </w:r>
      <w:r w:rsidRPr="001D1C59">
        <w:rPr>
          <w:b/>
          <w:bCs/>
          <w:szCs w:val="20"/>
        </w:rPr>
        <w:t>hour per</w:t>
      </w:r>
      <w:r w:rsidR="001D1C59">
        <w:rPr>
          <w:b/>
          <w:bCs/>
          <w:szCs w:val="20"/>
        </w:rPr>
        <w:t xml:space="preserve"> </w:t>
      </w:r>
      <w:r w:rsidRPr="001D1C59">
        <w:rPr>
          <w:b/>
          <w:bCs/>
          <w:szCs w:val="20"/>
        </w:rPr>
        <w:t>week</w:t>
      </w:r>
      <w:r w:rsidRPr="00E2756F">
        <w:rPr>
          <w:szCs w:val="20"/>
        </w:rPr>
        <w:t xml:space="preserve"> in coordination overhead per affected vendor, while enabling</w:t>
      </w:r>
      <w:r w:rsidR="001D1C59">
        <w:rPr>
          <w:szCs w:val="20"/>
        </w:rPr>
        <w:t xml:space="preserve"> up to a</w:t>
      </w:r>
      <w:r w:rsidRPr="00E2756F">
        <w:rPr>
          <w:szCs w:val="20"/>
        </w:rPr>
        <w:t xml:space="preserve"> </w:t>
      </w:r>
      <w:r w:rsidRPr="001D1C59">
        <w:rPr>
          <w:b/>
          <w:bCs/>
          <w:szCs w:val="20"/>
        </w:rPr>
        <w:t>50% improvement in OOS recovery</w:t>
      </w:r>
      <w:r w:rsidRPr="00E2756F">
        <w:rPr>
          <w:szCs w:val="20"/>
        </w:rPr>
        <w:t xml:space="preserve"> for affected items.</w:t>
      </w:r>
    </w:p>
    <w:p w14:paraId="29F0C50B" w14:textId="5DD9CBA9" w:rsidR="00E2756F" w:rsidRPr="00E2756F" w:rsidRDefault="00E2756F" w:rsidP="00E2756F">
      <w:pPr>
        <w:rPr>
          <w:szCs w:val="20"/>
        </w:rPr>
      </w:pPr>
      <w:r w:rsidRPr="00E2756F">
        <w:rPr>
          <w:szCs w:val="20"/>
        </w:rPr>
        <w:t>While affected items represent</w:t>
      </w:r>
      <w:r w:rsidR="001D1C59">
        <w:rPr>
          <w:szCs w:val="20"/>
        </w:rPr>
        <w:t xml:space="preserve"> about</w:t>
      </w:r>
      <w:r w:rsidRPr="00E2756F">
        <w:rPr>
          <w:szCs w:val="20"/>
        </w:rPr>
        <w:t xml:space="preserve"> 0.1% of company-wide OOS, </w:t>
      </w:r>
      <w:r w:rsidR="001D1C59">
        <w:rPr>
          <w:szCs w:val="20"/>
        </w:rPr>
        <w:t>affected vendors—by nature—</w:t>
      </w:r>
      <w:r w:rsidRPr="00E2756F">
        <w:rPr>
          <w:szCs w:val="20"/>
        </w:rPr>
        <w:t xml:space="preserve">trend </w:t>
      </w:r>
      <w:r w:rsidR="001D1C59">
        <w:rPr>
          <w:szCs w:val="20"/>
        </w:rPr>
        <w:t>higher than average, s</w:t>
      </w:r>
      <w:r w:rsidRPr="00E2756F">
        <w:rPr>
          <w:szCs w:val="20"/>
        </w:rPr>
        <w:t>uggesting the impacted inventory pool may approach 1% for the vendor</w:t>
      </w:r>
      <w:r w:rsidR="001D1C59">
        <w:rPr>
          <w:szCs w:val="20"/>
        </w:rPr>
        <w:t xml:space="preserve">s </w:t>
      </w:r>
      <w:r w:rsidRPr="00E2756F">
        <w:rPr>
          <w:szCs w:val="20"/>
        </w:rPr>
        <w:t>most likely to use daily data for rapid response.</w:t>
      </w:r>
    </w:p>
    <w:p w14:paraId="0ADC236C" w14:textId="17E987EE" w:rsidR="00E2756F" w:rsidRPr="00E2756F" w:rsidRDefault="00E2756F" w:rsidP="00C373ED">
      <w:pPr>
        <w:pStyle w:val="Heading2"/>
      </w:pPr>
      <w:r w:rsidRPr="00E2756F">
        <w:t>4. SKU and Vendor Number Assignment Cleanup</w:t>
      </w:r>
    </w:p>
    <w:p w14:paraId="3A47AA58" w14:textId="3241E3DF" w:rsidR="00E2756F" w:rsidRPr="00E2756F" w:rsidRDefault="00E2756F" w:rsidP="00E2756F">
      <w:pPr>
        <w:rPr>
          <w:szCs w:val="20"/>
        </w:rPr>
      </w:pPr>
      <w:r w:rsidRPr="00E2756F">
        <w:rPr>
          <w:szCs w:val="20"/>
        </w:rPr>
        <w:t>Visibility into unused-but-not-deactivated vendor numbers and agreement lines would facilitate cleanup of a particularly insidious data quality issue: price discrepancies between active and obsolete vendor numbers for the same SKU.</w:t>
      </w:r>
    </w:p>
    <w:p w14:paraId="7ED8F92A" w14:textId="6F6280D7" w:rsidR="00E2756F" w:rsidRPr="00E2756F" w:rsidRDefault="00E2756F" w:rsidP="006E4789">
      <w:pPr>
        <w:rPr>
          <w:szCs w:val="20"/>
        </w:rPr>
      </w:pPr>
      <w:r w:rsidRPr="00C373ED">
        <w:rPr>
          <w:b/>
          <w:bCs/>
          <w:szCs w:val="20"/>
        </w:rPr>
        <w:t>Example scenario</w:t>
      </w:r>
      <w:r w:rsidRPr="00E2756F">
        <w:rPr>
          <w:szCs w:val="20"/>
        </w:rPr>
        <w:t xml:space="preserve">: A vendor's primary vendor number receives a price increase (reflected in the active agreement). However, an obsolete vendor number tied to the same SKU—with a lower historical price—remains active but does not receive price updates. </w:t>
      </w:r>
      <w:r w:rsidR="001D1C59">
        <w:rPr>
          <w:szCs w:val="20"/>
        </w:rPr>
        <w:t xml:space="preserve">Pricing algorithms select the lower (invalid) price, </w:t>
      </w:r>
      <w:r w:rsidRPr="00E2756F">
        <w:rPr>
          <w:szCs w:val="20"/>
        </w:rPr>
        <w:t>c</w:t>
      </w:r>
      <w:r w:rsidR="00EB7760">
        <w:rPr>
          <w:szCs w:val="20"/>
        </w:rPr>
        <w:t>reating</w:t>
      </w:r>
      <w:r w:rsidRPr="00E2756F">
        <w:rPr>
          <w:szCs w:val="20"/>
        </w:rPr>
        <w:t xml:space="preserve"> potential discrepancies.</w:t>
      </w:r>
    </w:p>
    <w:p w14:paraId="64DBCA33" w14:textId="77777777" w:rsidR="00E2756F" w:rsidRPr="00E2756F" w:rsidRDefault="00E2756F" w:rsidP="006E4789">
      <w:pPr>
        <w:pStyle w:val="Heading4"/>
      </w:pPr>
      <w:r w:rsidRPr="00E2756F">
        <w:lastRenderedPageBreak/>
        <w:t>This issue is especially acute because:</w:t>
      </w:r>
    </w:p>
    <w:p w14:paraId="5EE8EFCD" w14:textId="066779E0" w:rsidR="00E2756F" w:rsidRPr="00C373ED" w:rsidRDefault="00E2756F" w:rsidP="00C373ED">
      <w:pPr>
        <w:pStyle w:val="ListParagraph"/>
        <w:numPr>
          <w:ilvl w:val="0"/>
          <w:numId w:val="13"/>
        </w:numPr>
        <w:ind w:left="270" w:hanging="180"/>
        <w:rPr>
          <w:szCs w:val="20"/>
        </w:rPr>
      </w:pPr>
      <w:r w:rsidRPr="00C373ED">
        <w:rPr>
          <w:szCs w:val="20"/>
        </w:rPr>
        <w:t xml:space="preserve">Vendors </w:t>
      </w:r>
      <w:r w:rsidR="00EB7760">
        <w:rPr>
          <w:szCs w:val="20"/>
        </w:rPr>
        <w:t>all too often</w:t>
      </w:r>
      <w:r w:rsidRPr="00C373ED">
        <w:rPr>
          <w:szCs w:val="20"/>
        </w:rPr>
        <w:t xml:space="preserve"> do not know their own vendor numbers</w:t>
      </w:r>
    </w:p>
    <w:p w14:paraId="29446D2E" w14:textId="1290D793" w:rsidR="00E2756F" w:rsidRPr="00C373ED" w:rsidRDefault="00E2756F" w:rsidP="00C373ED">
      <w:pPr>
        <w:pStyle w:val="ListParagraph"/>
        <w:numPr>
          <w:ilvl w:val="0"/>
          <w:numId w:val="13"/>
        </w:numPr>
        <w:ind w:left="270" w:hanging="180"/>
        <w:rPr>
          <w:szCs w:val="20"/>
        </w:rPr>
      </w:pPr>
      <w:r w:rsidRPr="00C373ED">
        <w:rPr>
          <w:szCs w:val="20"/>
        </w:rPr>
        <w:t xml:space="preserve">Vendor numbers are not </w:t>
      </w:r>
      <w:r w:rsidRPr="00EB7760">
        <w:rPr>
          <w:b/>
          <w:bCs/>
          <w:szCs w:val="20"/>
        </w:rPr>
        <w:t>easily</w:t>
      </w:r>
      <w:r w:rsidRPr="00C373ED">
        <w:rPr>
          <w:szCs w:val="20"/>
        </w:rPr>
        <w:t xml:space="preserve"> searchable</w:t>
      </w:r>
    </w:p>
    <w:p w14:paraId="411D5228" w14:textId="2BAB6EAC" w:rsidR="00E2756F" w:rsidRPr="00C373ED" w:rsidRDefault="00E2756F" w:rsidP="00C373ED">
      <w:pPr>
        <w:pStyle w:val="ListParagraph"/>
        <w:numPr>
          <w:ilvl w:val="0"/>
          <w:numId w:val="13"/>
        </w:numPr>
        <w:ind w:left="270" w:hanging="180"/>
        <w:rPr>
          <w:szCs w:val="20"/>
        </w:rPr>
      </w:pPr>
      <w:r w:rsidRPr="00C373ED">
        <w:rPr>
          <w:szCs w:val="20"/>
        </w:rPr>
        <w:t xml:space="preserve">Portal ticket submissions lack </w:t>
      </w:r>
      <w:r w:rsidR="00EB7760">
        <w:rPr>
          <w:szCs w:val="20"/>
        </w:rPr>
        <w:t xml:space="preserve">adequate </w:t>
      </w:r>
      <w:r w:rsidRPr="00C373ED">
        <w:rPr>
          <w:szCs w:val="20"/>
        </w:rPr>
        <w:t>fields for vendor number entry</w:t>
      </w:r>
    </w:p>
    <w:p w14:paraId="1CE59735" w14:textId="334888BB" w:rsidR="00E2756F" w:rsidRPr="00C373ED" w:rsidRDefault="00E2756F" w:rsidP="00C373ED">
      <w:pPr>
        <w:pStyle w:val="ListParagraph"/>
        <w:numPr>
          <w:ilvl w:val="0"/>
          <w:numId w:val="13"/>
        </w:numPr>
        <w:ind w:left="270" w:hanging="180"/>
        <w:rPr>
          <w:szCs w:val="20"/>
        </w:rPr>
      </w:pPr>
      <w:r w:rsidRPr="00C373ED">
        <w:rPr>
          <w:szCs w:val="20"/>
        </w:rPr>
        <w:t>Long-term vendors often accumulate multiple active agreements and vendor numbers, plus expired/inactive entries</w:t>
      </w:r>
    </w:p>
    <w:p w14:paraId="2A65F13F" w14:textId="03C3D23B" w:rsidR="00E2756F" w:rsidRPr="00E2756F" w:rsidRDefault="00E2756F" w:rsidP="00E2756F">
      <w:pPr>
        <w:rPr>
          <w:szCs w:val="20"/>
        </w:rPr>
      </w:pPr>
      <w:r w:rsidRPr="00E2756F">
        <w:rPr>
          <w:szCs w:val="20"/>
        </w:rPr>
        <w:t>Improved visibility would help prevent items from being added to incorrect vendor numbers and enable systematic cleanup of legacy data structures.</w:t>
      </w:r>
    </w:p>
    <w:p w14:paraId="4C422AA8" w14:textId="22FDF03B" w:rsidR="00E2756F" w:rsidRPr="00C373ED" w:rsidRDefault="00E2756F" w:rsidP="00C373ED">
      <w:pPr>
        <w:pStyle w:val="Heading2"/>
      </w:pPr>
      <w:r w:rsidRPr="00E2756F">
        <w:t>Summary of Quantified Impacts</w:t>
      </w:r>
    </w:p>
    <w:p w14:paraId="216B4A5F" w14:textId="77777777" w:rsidR="00E2756F" w:rsidRPr="00E2756F" w:rsidRDefault="00E2756F" w:rsidP="00E2756F">
      <w:pPr>
        <w:rPr>
          <w:szCs w:val="20"/>
        </w:rPr>
      </w:pPr>
      <w:r w:rsidRPr="00E2756F">
        <w:rPr>
          <w:szCs w:val="20"/>
        </w:rPr>
        <w:t>The survey evidence documents measurable operational burden and financial exposure:</w:t>
      </w:r>
    </w:p>
    <w:p w14:paraId="68B10D3C" w14:textId="77777777" w:rsidR="00C373ED" w:rsidRDefault="00E2756F" w:rsidP="00C373ED">
      <w:pPr>
        <w:pStyle w:val="Heading4"/>
      </w:pPr>
      <w:r w:rsidRPr="00C373ED">
        <w:rPr>
          <w:b w:val="0"/>
        </w:rPr>
        <w:t>Time burden reduction opportunities</w:t>
      </w:r>
      <w:r w:rsidRPr="00E2756F">
        <w:t>:</w:t>
      </w:r>
    </w:p>
    <w:p w14:paraId="13F72404" w14:textId="20549A52" w:rsidR="00E2756F" w:rsidRPr="00C373ED" w:rsidRDefault="00E2756F" w:rsidP="00C373ED">
      <w:pPr>
        <w:pStyle w:val="ListParagraph"/>
        <w:numPr>
          <w:ilvl w:val="0"/>
          <w:numId w:val="19"/>
        </w:numPr>
        <w:ind w:left="270" w:hanging="180"/>
        <w:rPr>
          <w:szCs w:val="20"/>
        </w:rPr>
      </w:pPr>
      <w:r w:rsidRPr="00C373ED">
        <w:rPr>
          <w:szCs w:val="20"/>
        </w:rPr>
        <w:t>1-5 hours per ISM per week in CPFR data preparation and COE</w:t>
      </w:r>
    </w:p>
    <w:p w14:paraId="0B2D5924" w14:textId="7FDA7149" w:rsidR="00E2756F" w:rsidRPr="00C373ED" w:rsidRDefault="00E2756F" w:rsidP="00C373ED">
      <w:pPr>
        <w:pStyle w:val="ListParagraph"/>
        <w:numPr>
          <w:ilvl w:val="0"/>
          <w:numId w:val="19"/>
        </w:numPr>
        <w:ind w:left="270" w:hanging="180"/>
        <w:rPr>
          <w:szCs w:val="20"/>
        </w:rPr>
      </w:pPr>
      <w:r w:rsidRPr="00C373ED">
        <w:rPr>
          <w:szCs w:val="20"/>
        </w:rPr>
        <w:t>~2 days per week addressing MOQ/transportation escalations (opportunity for incremental feature expansion)</w:t>
      </w:r>
    </w:p>
    <w:p w14:paraId="65C16995" w14:textId="21E16C73" w:rsidR="00E2756F" w:rsidRPr="00C373ED" w:rsidRDefault="00E2756F" w:rsidP="00C373ED">
      <w:pPr>
        <w:pStyle w:val="ListParagraph"/>
        <w:numPr>
          <w:ilvl w:val="0"/>
          <w:numId w:val="19"/>
        </w:numPr>
        <w:ind w:left="270" w:hanging="180"/>
        <w:rPr>
          <w:szCs w:val="20"/>
        </w:rPr>
      </w:pPr>
      <w:r w:rsidRPr="00C373ED">
        <w:rPr>
          <w:szCs w:val="20"/>
        </w:rPr>
        <w:t>~1 hour per week per vendor relationship through daily data availability</w:t>
      </w:r>
    </w:p>
    <w:p w14:paraId="36F37B29" w14:textId="2C336DCE" w:rsidR="00E2756F" w:rsidRPr="00C373ED" w:rsidRDefault="00E2756F" w:rsidP="00C373ED">
      <w:pPr>
        <w:pStyle w:val="Heading4"/>
      </w:pPr>
      <w:r w:rsidRPr="00C373ED">
        <w:t>Financial impact from improved visibility:</w:t>
      </w:r>
    </w:p>
    <w:p w14:paraId="35C8B4A1" w14:textId="0091B27B" w:rsidR="00E2756F" w:rsidRPr="00C373ED" w:rsidRDefault="00E2756F" w:rsidP="00C373ED">
      <w:pPr>
        <w:pStyle w:val="ListParagraph"/>
        <w:numPr>
          <w:ilvl w:val="0"/>
          <w:numId w:val="15"/>
        </w:numPr>
        <w:ind w:left="270" w:hanging="180"/>
        <w:rPr>
          <w:szCs w:val="20"/>
        </w:rPr>
      </w:pPr>
      <w:r w:rsidRPr="00C373ED">
        <w:rPr>
          <w:szCs w:val="20"/>
        </w:rPr>
        <w:t>$5M documented cost avoidance case (single threshold mismatch event)</w:t>
      </w:r>
    </w:p>
    <w:p w14:paraId="6FC64B11" w14:textId="22E3B016" w:rsidR="00E2756F" w:rsidRPr="00C373ED" w:rsidRDefault="00E2756F" w:rsidP="00C373ED">
      <w:pPr>
        <w:pStyle w:val="ListParagraph"/>
        <w:numPr>
          <w:ilvl w:val="0"/>
          <w:numId w:val="15"/>
        </w:numPr>
        <w:ind w:left="270" w:hanging="180"/>
        <w:rPr>
          <w:szCs w:val="20"/>
        </w:rPr>
      </w:pPr>
      <w:r w:rsidRPr="00C373ED">
        <w:rPr>
          <w:szCs w:val="20"/>
        </w:rPr>
        <w:t>~$15M estimated annual exposure from recurring forecast threshold issues</w:t>
      </w:r>
    </w:p>
    <w:p w14:paraId="5C345300" w14:textId="2D068A6A" w:rsidR="00E2756F" w:rsidRPr="00E2756F" w:rsidRDefault="00E2756F" w:rsidP="00C373ED">
      <w:pPr>
        <w:pStyle w:val="Heading4"/>
      </w:pPr>
      <w:r w:rsidRPr="00C373ED">
        <w:t>Vendor relationship evidence</w:t>
      </w:r>
      <w:r w:rsidRPr="00E2756F">
        <w:t>:</w:t>
      </w:r>
    </w:p>
    <w:p w14:paraId="5E610F00" w14:textId="7A789422" w:rsidR="00E2756F" w:rsidRPr="00C373ED" w:rsidRDefault="00E2756F" w:rsidP="00C373ED">
      <w:pPr>
        <w:pStyle w:val="ListParagraph"/>
        <w:numPr>
          <w:ilvl w:val="0"/>
          <w:numId w:val="14"/>
        </w:numPr>
        <w:ind w:left="270" w:hanging="180"/>
        <w:rPr>
          <w:szCs w:val="20"/>
        </w:rPr>
      </w:pPr>
      <w:r w:rsidRPr="00C373ED">
        <w:rPr>
          <w:szCs w:val="20"/>
        </w:rPr>
        <w:t>Consistent API access preference across major vendors (Blue Buffalo, Mars, Nestle-Purina)</w:t>
      </w:r>
    </w:p>
    <w:p w14:paraId="4C895156" w14:textId="363055DF" w:rsidR="00E2756F" w:rsidRPr="00C373ED" w:rsidRDefault="00E2756F" w:rsidP="00C373ED">
      <w:pPr>
        <w:pStyle w:val="ListParagraph"/>
        <w:numPr>
          <w:ilvl w:val="0"/>
          <w:numId w:val="14"/>
        </w:numPr>
        <w:ind w:left="270" w:hanging="180"/>
        <w:rPr>
          <w:szCs w:val="20"/>
        </w:rPr>
      </w:pPr>
      <w:r w:rsidRPr="00C373ED">
        <w:rPr>
          <w:szCs w:val="20"/>
        </w:rPr>
        <w:t>Explicit daily data cadence requirements for operational responsiveness</w:t>
      </w:r>
    </w:p>
    <w:p w14:paraId="4B021E04" w14:textId="1A0D4CEE" w:rsidR="00E2756F" w:rsidRPr="00C373ED" w:rsidRDefault="00E2756F" w:rsidP="00C373ED">
      <w:pPr>
        <w:pStyle w:val="ListParagraph"/>
        <w:numPr>
          <w:ilvl w:val="0"/>
          <w:numId w:val="14"/>
        </w:numPr>
        <w:ind w:left="270" w:hanging="180"/>
        <w:rPr>
          <w:szCs w:val="20"/>
        </w:rPr>
      </w:pPr>
      <w:r w:rsidRPr="00C373ED">
        <w:rPr>
          <w:szCs w:val="20"/>
        </w:rPr>
        <w:t>Clear prioritization of portal self-service over advanced analytical features</w:t>
      </w:r>
    </w:p>
    <w:p w14:paraId="1FDEC6EC" w14:textId="77777777" w:rsidR="006E4789" w:rsidRDefault="00E2756F" w:rsidP="00E2756F">
      <w:pPr>
        <w:rPr>
          <w:szCs w:val="20"/>
        </w:rPr>
      </w:pPr>
      <w:r w:rsidRPr="00E2756F">
        <w:rPr>
          <w:szCs w:val="20"/>
        </w:rPr>
        <w:t>This evidence base supports the business case for CPFR platform modernization by documenting specific, quantifiable pain points experienced by senior ISMs managing substantial vendor relationship portfolios. The convergence of operational burden, financial exposure, and vendor demand creates a compelling case for investment in governed data infrastructure and self-service portal capabilities.</w:t>
      </w:r>
    </w:p>
    <w:p w14:paraId="77C99284" w14:textId="66BB0E39" w:rsidR="00B951AE" w:rsidRDefault="00B951AE" w:rsidP="00D64CBF">
      <w:pPr>
        <w:pStyle w:val="Heading1"/>
      </w:pPr>
      <w:r>
        <w:t>Appendix 3: Architectural Summary</w:t>
      </w:r>
      <w:r w:rsidR="00F42790">
        <w:t xml:space="preserve"> (Platform)</w:t>
      </w:r>
    </w:p>
    <w:p w14:paraId="71AC46BB" w14:textId="61C618AF" w:rsidR="00420EF5" w:rsidRPr="0025222F" w:rsidRDefault="00420EF5" w:rsidP="00A57905">
      <w:pPr>
        <w:pStyle w:val="ListParagraph"/>
        <w:numPr>
          <w:ilvl w:val="0"/>
          <w:numId w:val="10"/>
        </w:numPr>
        <w:ind w:left="270" w:hanging="180"/>
        <w:rPr>
          <w:szCs w:val="20"/>
        </w:rPr>
      </w:pPr>
      <w:r w:rsidRPr="0025222F">
        <w:rPr>
          <w:szCs w:val="20"/>
        </w:rPr>
        <w:t>Illustration is representational</w:t>
      </w:r>
      <w:r w:rsidR="0025222F" w:rsidRPr="0025222F">
        <w:rPr>
          <w:szCs w:val="20"/>
        </w:rPr>
        <w:t>-only</w:t>
      </w:r>
      <w:r w:rsidRPr="0025222F">
        <w:rPr>
          <w:szCs w:val="20"/>
        </w:rPr>
        <w:t>.</w:t>
      </w:r>
    </w:p>
    <w:p w14:paraId="0A45859B" w14:textId="31FEE51F" w:rsidR="005642B2" w:rsidRPr="005642B2" w:rsidRDefault="006E4789" w:rsidP="005642B2">
      <w:pPr>
        <w:pStyle w:val="ListParagraph"/>
        <w:numPr>
          <w:ilvl w:val="0"/>
          <w:numId w:val="10"/>
        </w:numPr>
        <w:ind w:left="270" w:hanging="180"/>
        <w:rPr>
          <w:szCs w:val="20"/>
        </w:rPr>
      </w:pPr>
      <w:r w:rsidRPr="00795A05">
        <w:rPr>
          <w:b/>
          <w:bCs/>
          <w:noProof/>
          <w:szCs w:val="20"/>
        </w:rPr>
        <w:drawing>
          <wp:anchor distT="0" distB="0" distL="114300" distR="114300" simplePos="0" relativeHeight="251658240" behindDoc="1" locked="0" layoutInCell="1" allowOverlap="1" wp14:anchorId="689D6DEE" wp14:editId="3F006FD4">
            <wp:simplePos x="0" y="0"/>
            <wp:positionH relativeFrom="page">
              <wp:align>center</wp:align>
            </wp:positionH>
            <wp:positionV relativeFrom="paragraph">
              <wp:posOffset>511175</wp:posOffset>
            </wp:positionV>
            <wp:extent cx="3841750" cy="2343150"/>
            <wp:effectExtent l="0" t="0" r="6350" b="0"/>
            <wp:wrapTopAndBottom/>
            <wp:docPr id="115987107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987107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41750" cy="2343150"/>
                    </a:xfrm>
                    <a:prstGeom prst="rect">
                      <a:avLst/>
                    </a:prstGeom>
                  </pic:spPr>
                </pic:pic>
              </a:graphicData>
            </a:graphic>
            <wp14:sizeRelH relativeFrom="margin">
              <wp14:pctWidth>0</wp14:pctWidth>
            </wp14:sizeRelH>
            <wp14:sizeRelV relativeFrom="margin">
              <wp14:pctHeight>0</wp14:pctHeight>
            </wp14:sizeRelV>
          </wp:anchor>
        </w:drawing>
      </w:r>
      <w:r w:rsidR="00420EF5" w:rsidRPr="00795A05">
        <w:rPr>
          <w:szCs w:val="20"/>
        </w:rPr>
        <w:t>Segregating Portal access and Chewy TM access allows clear separation of access scopes while maintaining synchronization to single-source data.</w:t>
      </w:r>
      <w:r w:rsidR="005642B2">
        <w:br w:type="page"/>
      </w:r>
    </w:p>
    <w:p w14:paraId="473A937F" w14:textId="77777777" w:rsidR="00EB7760" w:rsidRDefault="00D64CBF" w:rsidP="00EB7760">
      <w:pPr>
        <w:pStyle w:val="Heading1"/>
      </w:pPr>
      <w:r w:rsidRPr="00D64CBF">
        <w:lastRenderedPageBreak/>
        <w:t xml:space="preserve">Appendix </w:t>
      </w:r>
      <w:r>
        <w:t>4: Implementation Plan</w:t>
      </w:r>
    </w:p>
    <w:p w14:paraId="24B789B9" w14:textId="794E2DA9" w:rsidR="004E7DFD" w:rsidRDefault="004E7DFD" w:rsidP="00EB7760">
      <w:pPr>
        <w:pStyle w:val="Heading2"/>
      </w:pPr>
      <w:r>
        <w:t xml:space="preserve">Build &amp; </w:t>
      </w:r>
      <w:r w:rsidRPr="004E7DFD">
        <w:t>Rollout Strategy</w:t>
      </w:r>
      <w:r w:rsidR="00CB70C8">
        <w:t>:</w:t>
      </w:r>
    </w:p>
    <w:p w14:paraId="62283688" w14:textId="10F1BB9F" w:rsidR="004E7DFD" w:rsidRPr="004E7DFD" w:rsidRDefault="004E7DFD" w:rsidP="00EB7760">
      <w:pPr>
        <w:pStyle w:val="Heading3"/>
      </w:pPr>
      <w:r w:rsidRPr="004E7DFD">
        <w:t xml:space="preserve">The rollout will follow a </w:t>
      </w:r>
      <w:r w:rsidRPr="004E7DFD">
        <w:rPr>
          <w:b/>
          <w:bCs/>
        </w:rPr>
        <w:t>phased approach</w:t>
      </w:r>
      <w:r w:rsidRPr="004E7DFD">
        <w:t xml:space="preserve"> that balances speed with control.</w:t>
      </w:r>
    </w:p>
    <w:p w14:paraId="3BC0E3A9" w14:textId="59C214E3" w:rsidR="004E7DFD" w:rsidRPr="004E7DFD" w:rsidRDefault="004E7DFD" w:rsidP="00EB7760">
      <w:pPr>
        <w:pStyle w:val="ListParagraph"/>
        <w:numPr>
          <w:ilvl w:val="0"/>
          <w:numId w:val="21"/>
        </w:numPr>
        <w:tabs>
          <w:tab w:val="left" w:pos="180"/>
        </w:tabs>
        <w:ind w:left="270" w:hanging="180"/>
      </w:pPr>
      <w:r w:rsidRPr="004E7DFD">
        <w:rPr>
          <w:b/>
          <w:bCs/>
        </w:rPr>
        <w:t>Phase 1</w:t>
      </w:r>
      <w:r w:rsidRPr="004E7DFD">
        <w:t xml:space="preserve"> establish</w:t>
      </w:r>
      <w:r>
        <w:t>es</w:t>
      </w:r>
      <w:r w:rsidRPr="004E7DFD">
        <w:t xml:space="preserve"> the </w:t>
      </w:r>
      <w:r w:rsidRPr="004E7DFD">
        <w:rPr>
          <w:b/>
          <w:bCs/>
        </w:rPr>
        <w:t>data platform foundation</w:t>
      </w:r>
      <w:r w:rsidRPr="004E7DFD">
        <w:t xml:space="preserve"> in Snowflake and deliver internal tools for In-Stock and B.I. teams.</w:t>
      </w:r>
    </w:p>
    <w:p w14:paraId="0C028E04" w14:textId="5C3C7E04" w:rsidR="004E7DFD" w:rsidRDefault="004E7DFD" w:rsidP="00EB7760">
      <w:pPr>
        <w:pStyle w:val="ListParagraph"/>
        <w:numPr>
          <w:ilvl w:val="0"/>
          <w:numId w:val="21"/>
        </w:numPr>
        <w:tabs>
          <w:tab w:val="left" w:pos="180"/>
        </w:tabs>
        <w:ind w:left="270" w:hanging="180"/>
      </w:pPr>
      <w:r w:rsidRPr="004E7DFD">
        <w:rPr>
          <w:b/>
          <w:bCs/>
        </w:rPr>
        <w:t>Phase 2</w:t>
      </w:r>
      <w:r w:rsidRPr="004E7DFD">
        <w:t xml:space="preserve"> will extend capabilit</w:t>
      </w:r>
      <w:r>
        <w:t>ies</w:t>
      </w:r>
      <w:r w:rsidRPr="004E7DFD">
        <w:t xml:space="preserve"> to the </w:t>
      </w:r>
      <w:r w:rsidRPr="004E7DFD">
        <w:rPr>
          <w:b/>
          <w:bCs/>
        </w:rPr>
        <w:t>CPFR Vendor Portal</w:t>
      </w:r>
      <w:r w:rsidRPr="004E7DFD">
        <w:t xml:space="preserve"> within Chewy Partner Hub (CPH), enabling secure vendor access and self-service.</w:t>
      </w:r>
    </w:p>
    <w:p w14:paraId="71EAA594" w14:textId="032CCCEE" w:rsidR="004E7DFD" w:rsidRPr="004E7DFD" w:rsidRDefault="004E7DFD" w:rsidP="0025222F">
      <w:pPr>
        <w:spacing w:line="240" w:lineRule="auto"/>
        <w:rPr>
          <w:szCs w:val="20"/>
        </w:rPr>
      </w:pPr>
      <w:r w:rsidRPr="004E7DFD">
        <w:rPr>
          <w:szCs w:val="20"/>
        </w:rPr>
        <w:t xml:space="preserve">While these phases are sequential, </w:t>
      </w:r>
      <w:r>
        <w:rPr>
          <w:szCs w:val="20"/>
        </w:rPr>
        <w:t xml:space="preserve">a degree of </w:t>
      </w:r>
      <w:r w:rsidRPr="004E7DFD">
        <w:rPr>
          <w:szCs w:val="20"/>
        </w:rPr>
        <w:t xml:space="preserve">overlap between late-stage Phase 1 and early-stage Phase 2 is expected and </w:t>
      </w:r>
      <w:r>
        <w:rPr>
          <w:szCs w:val="20"/>
        </w:rPr>
        <w:t>even desirable</w:t>
      </w:r>
      <w:r w:rsidRPr="004E7DFD">
        <w:rPr>
          <w:szCs w:val="20"/>
        </w:rPr>
        <w:t>. This approach minimizes disruption and allows technical, training, and communication activities to proceed in parallel as readiness milestones are met.</w:t>
      </w:r>
    </w:p>
    <w:p w14:paraId="51DF2124" w14:textId="77777777" w:rsidR="004E7DFD" w:rsidRPr="004E7DFD" w:rsidRDefault="004E7DFD" w:rsidP="00EB7760">
      <w:pPr>
        <w:pStyle w:val="Heading3"/>
      </w:pPr>
      <w:r w:rsidRPr="004E7DFD">
        <w:t>Additional measures to ensure a smooth transition:</w:t>
      </w:r>
    </w:p>
    <w:p w14:paraId="78073E03" w14:textId="77777777" w:rsidR="004E7DFD" w:rsidRPr="0025222F" w:rsidRDefault="004E7DFD" w:rsidP="00EB7760">
      <w:pPr>
        <w:pStyle w:val="ListParagraph"/>
        <w:numPr>
          <w:ilvl w:val="0"/>
          <w:numId w:val="22"/>
        </w:numPr>
        <w:tabs>
          <w:tab w:val="left" w:pos="1170"/>
        </w:tabs>
        <w:ind w:left="270" w:hanging="180"/>
      </w:pPr>
      <w:r w:rsidRPr="0025222F">
        <w:t>In-Stock staff will receive pre-release training and reference documentation prior to portal enablement.</w:t>
      </w:r>
    </w:p>
    <w:p w14:paraId="48E2F46C" w14:textId="76B72156" w:rsidR="004E7DFD" w:rsidRPr="0025222F" w:rsidRDefault="004E7DFD" w:rsidP="00EB7760">
      <w:pPr>
        <w:pStyle w:val="ListParagraph"/>
        <w:numPr>
          <w:ilvl w:val="0"/>
          <w:numId w:val="22"/>
        </w:numPr>
        <w:tabs>
          <w:tab w:val="left" w:pos="1170"/>
        </w:tabs>
        <w:ind w:left="270" w:hanging="180"/>
      </w:pPr>
      <w:r w:rsidRPr="0025222F">
        <w:t>Early rollout will focus on a smaller initial vendor group</w:t>
      </w:r>
      <w:r w:rsidR="00CB70C8" w:rsidRPr="0025222F">
        <w:t xml:space="preserve"> (e.g. Tier 1 vendors followed by Tier 2, etc.)</w:t>
      </w:r>
      <w:r w:rsidRPr="0025222F">
        <w:t>, allowing Chewy to validate workflows and resolve any early issues before broad release.</w:t>
      </w:r>
    </w:p>
    <w:p w14:paraId="45C7AC79" w14:textId="77777777" w:rsidR="004E7DFD" w:rsidRPr="0025222F" w:rsidRDefault="004E7DFD" w:rsidP="00EB7760">
      <w:pPr>
        <w:pStyle w:val="ListParagraph"/>
        <w:numPr>
          <w:ilvl w:val="0"/>
          <w:numId w:val="22"/>
        </w:numPr>
        <w:tabs>
          <w:tab w:val="left" w:pos="1170"/>
        </w:tabs>
        <w:ind w:left="270" w:hanging="180"/>
      </w:pPr>
      <w:r w:rsidRPr="0025222F">
        <w:t>Lessons learned from this initial onboarding will inform subsequent vendor activation waves.</w:t>
      </w:r>
    </w:p>
    <w:p w14:paraId="185C28AB" w14:textId="2E1B97B6" w:rsidR="004E7DFD" w:rsidRPr="004E7DFD" w:rsidRDefault="004E7DFD" w:rsidP="00EB7760">
      <w:pPr>
        <w:pStyle w:val="Heading2"/>
      </w:pPr>
      <w:r w:rsidRPr="004E7DFD">
        <w:t>Communication Strategy</w:t>
      </w:r>
      <w:r w:rsidR="00CB70C8">
        <w:t>:</w:t>
      </w:r>
    </w:p>
    <w:p w14:paraId="2290F35A" w14:textId="77777777" w:rsidR="004E7DFD" w:rsidRPr="004E7DFD" w:rsidRDefault="004E7DFD" w:rsidP="0025222F">
      <w:pPr>
        <w:spacing w:after="0" w:line="240" w:lineRule="auto"/>
        <w:rPr>
          <w:szCs w:val="20"/>
        </w:rPr>
      </w:pPr>
      <w:r w:rsidRPr="004E7DFD">
        <w:rPr>
          <w:szCs w:val="20"/>
        </w:rPr>
        <w:t>Throughout build and rollout, progress and reference materials will be tracked in a shared collaboration space (e.g., Confluence). Communication to internal and external users will be staged to align with the two primary phases:</w:t>
      </w:r>
    </w:p>
    <w:p w14:paraId="2DD48542" w14:textId="7D47AA16" w:rsidR="004E7DFD" w:rsidRPr="004E7DFD" w:rsidRDefault="004E7DFD" w:rsidP="00EB7760">
      <w:pPr>
        <w:pStyle w:val="ListParagraph"/>
        <w:numPr>
          <w:ilvl w:val="0"/>
          <w:numId w:val="23"/>
        </w:numPr>
        <w:ind w:left="270" w:hanging="180"/>
      </w:pPr>
      <w:r w:rsidRPr="0025222F">
        <w:t xml:space="preserve">Pre-launch </w:t>
      </w:r>
      <w:proofErr w:type="gramStart"/>
      <w:r w:rsidRPr="0025222F">
        <w:t>notifications:</w:t>
      </w:r>
      <w:proofErr w:type="gramEnd"/>
      <w:r w:rsidRPr="004E7DFD">
        <w:t xml:space="preserve"> sent 30 days prior to each rollout milestone, specifying go-live timing and hypercare period.</w:t>
      </w:r>
    </w:p>
    <w:p w14:paraId="4D090C58" w14:textId="77777777" w:rsidR="004E7DFD" w:rsidRPr="004E7DFD" w:rsidRDefault="004E7DFD" w:rsidP="00EB7760">
      <w:pPr>
        <w:pStyle w:val="ListParagraph"/>
        <w:numPr>
          <w:ilvl w:val="0"/>
          <w:numId w:val="23"/>
        </w:numPr>
        <w:ind w:left="270" w:hanging="180"/>
      </w:pPr>
      <w:r w:rsidRPr="0025222F">
        <w:t>Orientation sessions:</w:t>
      </w:r>
      <w:r w:rsidRPr="004E7DFD">
        <w:t xml:space="preserve"> offered for internal users and early vendor adopters during the hypercare window (≈ 30 days post-launch). Additional sessions may be added based on adoption needs.</w:t>
      </w:r>
    </w:p>
    <w:p w14:paraId="6F2B5DDD" w14:textId="01325F6C" w:rsidR="004E7DFD" w:rsidRPr="004E7DFD" w:rsidRDefault="004E7DFD" w:rsidP="00EB7760">
      <w:pPr>
        <w:pStyle w:val="ListParagraph"/>
        <w:numPr>
          <w:ilvl w:val="0"/>
          <w:numId w:val="23"/>
        </w:numPr>
        <w:ind w:left="270" w:hanging="180"/>
      </w:pPr>
      <w:r w:rsidRPr="0025222F">
        <w:t>Awareness updates:</w:t>
      </w:r>
      <w:r w:rsidRPr="004E7DFD">
        <w:t xml:space="preserve"> periodic “coming soon” highlights during development to prepare teams for upcoming functionality.</w:t>
      </w:r>
    </w:p>
    <w:p w14:paraId="005A76FF" w14:textId="036CD8A8" w:rsidR="004E7DFD" w:rsidRPr="004E7DFD" w:rsidRDefault="004E7DFD" w:rsidP="00EB7760">
      <w:pPr>
        <w:pStyle w:val="Heading2"/>
      </w:pPr>
      <w:r w:rsidRPr="004E7DFD">
        <w:t>Hypercare</w:t>
      </w:r>
      <w:r w:rsidR="00CB70C8">
        <w:t>:</w:t>
      </w:r>
    </w:p>
    <w:p w14:paraId="2993BB3A" w14:textId="2D438402" w:rsidR="004E7DFD" w:rsidRPr="004E7DFD" w:rsidRDefault="004E7DFD" w:rsidP="00EB7760">
      <w:pPr>
        <w:pStyle w:val="ListParagraph"/>
        <w:numPr>
          <w:ilvl w:val="0"/>
          <w:numId w:val="24"/>
        </w:numPr>
        <w:ind w:left="270" w:hanging="180"/>
      </w:pPr>
      <w:r w:rsidRPr="004E7DFD">
        <w:t>A defined period of elevated service attention will follow each rollout milestone to ensure stable adoption</w:t>
      </w:r>
      <w:r w:rsidR="0025222F">
        <w:t>:</w:t>
      </w:r>
    </w:p>
    <w:p w14:paraId="23826874" w14:textId="77777777" w:rsidR="004E7DFD" w:rsidRPr="004E7DFD" w:rsidRDefault="004E7DFD" w:rsidP="00EB7760">
      <w:pPr>
        <w:pStyle w:val="ListParagraph"/>
        <w:numPr>
          <w:ilvl w:val="0"/>
          <w:numId w:val="24"/>
        </w:numPr>
        <w:ind w:left="270" w:hanging="180"/>
      </w:pPr>
      <w:r w:rsidRPr="004E7DFD">
        <w:t>Externally, hypercare maintains Chewy’s commitment to partnership by providing responsive support and encouraging early adoption success.</w:t>
      </w:r>
    </w:p>
    <w:p w14:paraId="5CEDFDD6" w14:textId="6CC91881" w:rsidR="004E7DFD" w:rsidRPr="004E7DFD" w:rsidRDefault="004E7DFD" w:rsidP="00EB7760">
      <w:pPr>
        <w:pStyle w:val="ListParagraph"/>
        <w:numPr>
          <w:ilvl w:val="0"/>
          <w:numId w:val="24"/>
        </w:numPr>
        <w:ind w:left="270" w:hanging="180"/>
      </w:pPr>
      <w:r w:rsidRPr="004E7DFD">
        <w:t xml:space="preserve">Internally, it delivers fast feedback loops </w:t>
      </w:r>
      <w:r w:rsidR="0025222F">
        <w:t>for</w:t>
      </w:r>
      <w:r w:rsidRPr="004E7DFD">
        <w:t xml:space="preserve"> support and engineering teams to implement quick fixes and optimizations.</w:t>
      </w:r>
    </w:p>
    <w:p w14:paraId="125D10EB" w14:textId="79352A14" w:rsidR="004E7DFD" w:rsidRPr="004E7DFD" w:rsidRDefault="004E7DFD" w:rsidP="00EB7760">
      <w:pPr>
        <w:pStyle w:val="Heading2"/>
      </w:pPr>
      <w:r w:rsidRPr="004E7DFD">
        <w:t>Email Backup</w:t>
      </w:r>
      <w:r w:rsidR="00CB70C8">
        <w:t>:</w:t>
      </w:r>
    </w:p>
    <w:p w14:paraId="0C5FE981" w14:textId="7A150A78" w:rsidR="00D64CBF" w:rsidRPr="004E7DFD" w:rsidRDefault="004E7DFD" w:rsidP="0025222F">
      <w:pPr>
        <w:spacing w:after="0" w:line="240" w:lineRule="auto"/>
        <w:rPr>
          <w:szCs w:val="20"/>
        </w:rPr>
      </w:pPr>
      <w:r w:rsidRPr="004E7DFD">
        <w:rPr>
          <w:szCs w:val="20"/>
        </w:rPr>
        <w:t>A</w:t>
      </w:r>
      <w:r w:rsidR="00CB70C8">
        <w:rPr>
          <w:szCs w:val="20"/>
        </w:rPr>
        <w:t>n</w:t>
      </w:r>
      <w:r w:rsidRPr="004E7DFD">
        <w:rPr>
          <w:szCs w:val="20"/>
        </w:rPr>
        <w:t xml:space="preserve"> email feed</w:t>
      </w:r>
      <w:r>
        <w:rPr>
          <w:szCs w:val="20"/>
        </w:rPr>
        <w:t xml:space="preserve"> capability </w:t>
      </w:r>
      <w:r w:rsidRPr="004E7DFD">
        <w:rPr>
          <w:szCs w:val="20"/>
        </w:rPr>
        <w:t xml:space="preserve">will </w:t>
      </w:r>
      <w:r w:rsidR="00E83F50">
        <w:rPr>
          <w:szCs w:val="20"/>
        </w:rPr>
        <w:t>be</w:t>
      </w:r>
      <w:r w:rsidRPr="004E7DFD">
        <w:rPr>
          <w:szCs w:val="20"/>
        </w:rPr>
        <w:t xml:space="preserve"> available for vendors unable</w:t>
      </w:r>
      <w:r w:rsidR="00CB70C8">
        <w:rPr>
          <w:szCs w:val="20"/>
        </w:rPr>
        <w:t xml:space="preserve"> or with inopportune access</w:t>
      </w:r>
      <w:r w:rsidRPr="004E7DFD">
        <w:rPr>
          <w:szCs w:val="20"/>
        </w:rPr>
        <w:t xml:space="preserve"> to the portal</w:t>
      </w:r>
      <w:r>
        <w:rPr>
          <w:szCs w:val="20"/>
        </w:rPr>
        <w:t>.</w:t>
      </w:r>
      <w:r w:rsidR="00CB70C8">
        <w:rPr>
          <w:szCs w:val="20"/>
        </w:rPr>
        <w:t xml:space="preserve"> This will be activated at portal rollout to send the same data-view shown to the vendor in the portal based on the metric configuration chosen by the vendor’s ISM and selections the vendor makes in the portal for their recipients. Legacy email automation will be available as a back-up facility for CPFR reporting during </w:t>
      </w:r>
      <w:proofErr w:type="gramStart"/>
      <w:r w:rsidR="00CB70C8">
        <w:rPr>
          <w:szCs w:val="20"/>
        </w:rPr>
        <w:t>rollout, but</w:t>
      </w:r>
      <w:proofErr w:type="gramEnd"/>
      <w:r w:rsidR="00CB70C8">
        <w:rPr>
          <w:szCs w:val="20"/>
        </w:rPr>
        <w:t xml:space="preserve"> will be gradually deactivated in favor of portal-based systems. </w:t>
      </w:r>
    </w:p>
    <w:sectPr w:rsidR="00D64CBF" w:rsidRPr="004E7DFD" w:rsidSect="003C6BE6">
      <w:headerReference w:type="default" r:id="rId9"/>
      <w:footerReference w:type="default" r:id="rId10"/>
      <w:headerReference w:type="first" r:id="rId11"/>
      <w:footerReference w:type="first" r:id="rId12"/>
      <w:pgSz w:w="12240" w:h="15840"/>
      <w:pgMar w:top="576" w:right="576" w:bottom="288" w:left="576" w:header="432" w:footer="432" w:gutter="288"/>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0AECD" w14:textId="77777777" w:rsidR="00A50D72" w:rsidRDefault="00A50D72" w:rsidP="00AC1730">
      <w:pPr>
        <w:spacing w:after="0" w:line="240" w:lineRule="auto"/>
      </w:pPr>
      <w:r>
        <w:separator/>
      </w:r>
    </w:p>
  </w:endnote>
  <w:endnote w:type="continuationSeparator" w:id="0">
    <w:p w14:paraId="5C3A1A8A" w14:textId="77777777" w:rsidR="00A50D72" w:rsidRDefault="00A50D72" w:rsidP="00AC1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C79EF91-2A9F-124B-9877-4BB9BB1077F9}"/>
    <w:embedItalic r:id="rId2" w:fontKey="{D3BB3F30-7871-C749-9361-EB3169D216B8}"/>
  </w:font>
  <w:font w:name="Times New Roman">
    <w:panose1 w:val="02020603050405020304"/>
    <w:charset w:val="00"/>
    <w:family w:val="roman"/>
    <w:pitch w:val="variable"/>
    <w:sig w:usb0="E0002EFF" w:usb1="C000785B" w:usb2="00000009" w:usb3="00000000" w:csb0="000001FF" w:csb1="00000000"/>
    <w:embedRegular r:id="rId3" w:fontKey="{B01F2340-550E-344C-9521-6DB7C0D5436B}"/>
    <w:embedBold r:id="rId4" w:fontKey="{33576AEF-1620-B346-B29F-816AB2221107}"/>
    <w:embedItalic r:id="rId5" w:fontKey="{A91FBB34-ADFA-B042-8A5A-D2BDD5EA3710}"/>
    <w:embedBoldItalic r:id="rId6" w:fontKey="{597CAAAD-867D-4545-90E2-83803D6462AC}"/>
  </w:font>
  <w:font w:name="Courier New">
    <w:panose1 w:val="02070309020205020404"/>
    <w:charset w:val="00"/>
    <w:family w:val="modern"/>
    <w:pitch w:val="fixed"/>
    <w:sig w:usb0="E0002EFF" w:usb1="C0007843" w:usb2="00000009" w:usb3="00000000" w:csb0="000001FF" w:csb1="00000000"/>
    <w:embedRegular r:id="rId7" w:fontKey="{37F087E8-FC1F-CB4B-834A-CD830F5D99D7}"/>
  </w:font>
  <w:font w:name="Wingdings">
    <w:panose1 w:val="05000000000000000000"/>
    <w:charset w:val="4D"/>
    <w:family w:val="decorative"/>
    <w:pitch w:val="variable"/>
    <w:sig w:usb0="00000003" w:usb1="00000000" w:usb2="00000000" w:usb3="00000000" w:csb0="80000001" w:csb1="00000000"/>
    <w:embedRegular r:id="rId8" w:fontKey="{FE51E410-5FC3-4A4C-9292-CA1CBC93AD0E}"/>
  </w:font>
  <w:font w:name="Aptos">
    <w:panose1 w:val="020B0004020202020204"/>
    <w:charset w:val="00"/>
    <w:family w:val="swiss"/>
    <w:pitch w:val="variable"/>
    <w:sig w:usb0="20000287" w:usb1="00000003" w:usb2="00000000" w:usb3="00000000" w:csb0="0000019F" w:csb1="00000000"/>
    <w:embedRegular r:id="rId9" w:fontKey="{C8A36374-FB21-3443-8895-6EEBEB2B271D}"/>
    <w:embedBold r:id="rId10" w:fontKey="{6EB58FF8-D987-9545-A5F6-07153B6B4193}"/>
    <w:embedItalic r:id="rId11" w:fontKey="{7F31A045-4369-2643-91FE-750A667986DA}"/>
    <w:embedBoldItalic r:id="rId12" w:fontKey="{E163BC0F-0BDC-F645-ACA3-323A378C020E}"/>
  </w:font>
  <w:font w:name="Aptos Display">
    <w:panose1 w:val="020B0004020202020204"/>
    <w:charset w:val="00"/>
    <w:family w:val="swiss"/>
    <w:pitch w:val="variable"/>
    <w:sig w:usb0="20000287" w:usb1="00000003" w:usb2="00000000" w:usb3="00000000" w:csb0="0000019F" w:csb1="00000000"/>
    <w:embedRegular r:id="rId13" w:fontKey="{29B6E4E0-9C37-4A48-86C2-1F3049CBE20E}"/>
    <w:embedBold r:id="rId14" w:fontKey="{494EFA23-D373-4A40-B45C-6CBDA32B16C2}"/>
  </w:font>
  <w:font w:name="Aptos Narrow">
    <w:panose1 w:val="020B0004020202020204"/>
    <w:charset w:val="00"/>
    <w:family w:val="swiss"/>
    <w:pitch w:val="variable"/>
    <w:sig w:usb0="20000287" w:usb1="00000003" w:usb2="00000000" w:usb3="00000000" w:csb0="0000019F" w:csb1="00000000"/>
    <w:embedRegular r:id="rId15" w:fontKey="{62E964A7-530E-8F44-BF24-8040D93AC11A}"/>
    <w:embedItalic r:id="rId16" w:fontKey="{9DE9F48F-734E-FE46-81F1-BE92F9F318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67BF4" w14:textId="155E1D79" w:rsidR="00AC1730" w:rsidRPr="00D46C6F" w:rsidRDefault="00D46C6F" w:rsidP="00AC1730">
    <w:pPr>
      <w:pStyle w:val="Footer"/>
      <w:tabs>
        <w:tab w:val="clear" w:pos="4680"/>
        <w:tab w:val="clear" w:pos="9360"/>
        <w:tab w:val="center" w:pos="5400"/>
        <w:tab w:val="right" w:pos="10800"/>
      </w:tabs>
      <w:rPr>
        <w:sz w:val="18"/>
        <w:szCs w:val="18"/>
      </w:rPr>
    </w:pPr>
    <w:r w:rsidRPr="00D46C6F">
      <w:rPr>
        <w:sz w:val="18"/>
        <w:szCs w:val="18"/>
      </w:rPr>
      <w:t>CPFR Platform &amp; Portal</w:t>
    </w:r>
    <w:r w:rsidRPr="00D46C6F">
      <w:rPr>
        <w:sz w:val="18"/>
        <w:szCs w:val="18"/>
      </w:rPr>
      <w:tab/>
    </w:r>
    <w:r w:rsidRPr="00D46C6F">
      <w:rPr>
        <w:noProof/>
        <w:sz w:val="18"/>
        <w:szCs w:val="18"/>
      </w:rPr>
      <w:drawing>
        <wp:inline distT="0" distB="0" distL="0" distR="0" wp14:anchorId="4DF2C5C1" wp14:editId="759960C4">
          <wp:extent cx="873905" cy="274320"/>
          <wp:effectExtent l="0" t="0" r="2540" b="0"/>
          <wp:docPr id="936043144"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29110" name="Picture 1"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73905" cy="274320"/>
                  </a:xfrm>
                  <a:prstGeom prst="rect">
                    <a:avLst/>
                  </a:prstGeom>
                </pic:spPr>
              </pic:pic>
            </a:graphicData>
          </a:graphic>
        </wp:inline>
      </w:drawing>
    </w:r>
    <w:r w:rsidRPr="00D46C6F">
      <w:rPr>
        <w:sz w:val="18"/>
        <w:szCs w:val="18"/>
      </w:rPr>
      <w:tab/>
      <w:t>nmiles1, 2025-1</w:t>
    </w:r>
    <w:r w:rsidR="00477905">
      <w:rPr>
        <w:sz w:val="18"/>
        <w:szCs w:val="18"/>
      </w:rPr>
      <w:t>1</w:t>
    </w:r>
    <w:r w:rsidRPr="00D46C6F">
      <w:rPr>
        <w:sz w:val="18"/>
        <w:szCs w:val="18"/>
      </w:rPr>
      <w:t>-30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BFAB7" w14:textId="283D7E53" w:rsidR="00D0092F" w:rsidRPr="00D46C6F" w:rsidRDefault="00D46C6F" w:rsidP="00D46C6F">
    <w:pPr>
      <w:pStyle w:val="Footer"/>
      <w:tabs>
        <w:tab w:val="clear" w:pos="4680"/>
        <w:tab w:val="clear" w:pos="9360"/>
        <w:tab w:val="center" w:pos="5400"/>
        <w:tab w:val="right" w:pos="10800"/>
      </w:tabs>
      <w:rPr>
        <w:sz w:val="18"/>
        <w:szCs w:val="18"/>
      </w:rPr>
    </w:pPr>
    <w:r w:rsidRPr="00D46C6F">
      <w:rPr>
        <w:sz w:val="18"/>
        <w:szCs w:val="18"/>
      </w:rPr>
      <w:t>CPFR Platform &amp; Portal</w:t>
    </w:r>
    <w:r w:rsidRPr="00D46C6F">
      <w:rPr>
        <w:sz w:val="18"/>
        <w:szCs w:val="18"/>
      </w:rPr>
      <w:tab/>
    </w:r>
    <w:r w:rsidRPr="00D46C6F">
      <w:rPr>
        <w:noProof/>
        <w:sz w:val="18"/>
        <w:szCs w:val="18"/>
      </w:rPr>
      <w:drawing>
        <wp:inline distT="0" distB="0" distL="0" distR="0" wp14:anchorId="150D549F" wp14:editId="3B74192D">
          <wp:extent cx="873905" cy="274320"/>
          <wp:effectExtent l="0" t="0" r="2540" b="0"/>
          <wp:docPr id="916745010"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29110" name="Picture 1"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73905" cy="274320"/>
                  </a:xfrm>
                  <a:prstGeom prst="rect">
                    <a:avLst/>
                  </a:prstGeom>
                </pic:spPr>
              </pic:pic>
            </a:graphicData>
          </a:graphic>
        </wp:inline>
      </w:drawing>
    </w:r>
    <w:r w:rsidRPr="00D46C6F">
      <w:rPr>
        <w:sz w:val="18"/>
        <w:szCs w:val="18"/>
      </w:rPr>
      <w:tab/>
      <w:t>nmiles1, 2025-10-30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0BB63" w14:textId="77777777" w:rsidR="00A50D72" w:rsidRDefault="00A50D72" w:rsidP="00AC1730">
      <w:pPr>
        <w:spacing w:after="0" w:line="240" w:lineRule="auto"/>
      </w:pPr>
      <w:r>
        <w:separator/>
      </w:r>
    </w:p>
  </w:footnote>
  <w:footnote w:type="continuationSeparator" w:id="0">
    <w:p w14:paraId="1271A24C" w14:textId="77777777" w:rsidR="00A50D72" w:rsidRDefault="00A50D72" w:rsidP="00AC1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8B57" w14:textId="7F3E5561" w:rsidR="00D46C6F" w:rsidRDefault="00D46C6F" w:rsidP="00AC1730">
    <w:pPr>
      <w:pStyle w:val="Header"/>
      <w:tabs>
        <w:tab w:val="clear" w:pos="4680"/>
        <w:tab w:val="clear" w:pos="9360"/>
        <w:tab w:val="center" w:pos="5400"/>
        <w:tab w:val="right" w:pos="1080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E441D" w14:textId="1095D571" w:rsidR="00D0092F" w:rsidRDefault="00D0092F" w:rsidP="00D46C6F">
    <w:pPr>
      <w:pStyle w:val="Header"/>
      <w:tabs>
        <w:tab w:val="clear" w:pos="4680"/>
        <w:tab w:val="clear" w:pos="9360"/>
        <w:tab w:val="center" w:pos="5400"/>
        <w:tab w:val="right" w:pos="10800"/>
      </w:tabs>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595"/>
    <w:multiLevelType w:val="hybridMultilevel"/>
    <w:tmpl w:val="B838F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D07AA"/>
    <w:multiLevelType w:val="hybridMultilevel"/>
    <w:tmpl w:val="747C4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F64E3"/>
    <w:multiLevelType w:val="hybridMultilevel"/>
    <w:tmpl w:val="605E6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F6D3E"/>
    <w:multiLevelType w:val="hybridMultilevel"/>
    <w:tmpl w:val="872E65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CD7077"/>
    <w:multiLevelType w:val="hybridMultilevel"/>
    <w:tmpl w:val="BA943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C80335"/>
    <w:multiLevelType w:val="hybridMultilevel"/>
    <w:tmpl w:val="81E47C60"/>
    <w:lvl w:ilvl="0" w:tplc="E9CE0F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C54D45"/>
    <w:multiLevelType w:val="hybridMultilevel"/>
    <w:tmpl w:val="17209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7A69AB"/>
    <w:multiLevelType w:val="hybridMultilevel"/>
    <w:tmpl w:val="DBE2FEB0"/>
    <w:lvl w:ilvl="0" w:tplc="EEF4C206">
      <w:numFmt w:val="bullet"/>
      <w:lvlText w:val=""/>
      <w:lvlJc w:val="left"/>
      <w:pPr>
        <w:ind w:left="806" w:hanging="360"/>
      </w:pPr>
      <w:rPr>
        <w:rFonts w:ascii="Symbol" w:eastAsiaTheme="minorHAnsi" w:hAnsi="Symbol" w:cstheme="minorBidi" w:hint="default"/>
        <w:i/>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8" w15:restartNumberingAfterBreak="0">
    <w:nsid w:val="304752C9"/>
    <w:multiLevelType w:val="hybridMultilevel"/>
    <w:tmpl w:val="50821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4D75E87"/>
    <w:multiLevelType w:val="hybridMultilevel"/>
    <w:tmpl w:val="5E72AB7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434B4A21"/>
    <w:multiLevelType w:val="hybridMultilevel"/>
    <w:tmpl w:val="5688F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9725DC"/>
    <w:multiLevelType w:val="hybridMultilevel"/>
    <w:tmpl w:val="F8069570"/>
    <w:lvl w:ilvl="0" w:tplc="4B64CEA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D18688E"/>
    <w:multiLevelType w:val="hybridMultilevel"/>
    <w:tmpl w:val="BC4E8D7A"/>
    <w:lvl w:ilvl="0" w:tplc="E9CE0F20">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E12E5C"/>
    <w:multiLevelType w:val="multilevel"/>
    <w:tmpl w:val="8A2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95660"/>
    <w:multiLevelType w:val="hybridMultilevel"/>
    <w:tmpl w:val="83223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52714E"/>
    <w:multiLevelType w:val="multilevel"/>
    <w:tmpl w:val="063E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0B2D17"/>
    <w:multiLevelType w:val="hybridMultilevel"/>
    <w:tmpl w:val="FD821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7E67C1"/>
    <w:multiLevelType w:val="multilevel"/>
    <w:tmpl w:val="606C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43B0B"/>
    <w:multiLevelType w:val="multilevel"/>
    <w:tmpl w:val="A33E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90C61"/>
    <w:multiLevelType w:val="hybridMultilevel"/>
    <w:tmpl w:val="F148030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2FA4F99"/>
    <w:multiLevelType w:val="hybridMultilevel"/>
    <w:tmpl w:val="DFF2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C821B4"/>
    <w:multiLevelType w:val="hybridMultilevel"/>
    <w:tmpl w:val="78B41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C333EF9"/>
    <w:multiLevelType w:val="multilevel"/>
    <w:tmpl w:val="2392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CA7C6A"/>
    <w:multiLevelType w:val="hybridMultilevel"/>
    <w:tmpl w:val="5F34A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9221213">
    <w:abstractNumId w:val="17"/>
  </w:num>
  <w:num w:numId="2" w16cid:durableId="918516870">
    <w:abstractNumId w:val="4"/>
  </w:num>
  <w:num w:numId="3" w16cid:durableId="1003901872">
    <w:abstractNumId w:val="22"/>
  </w:num>
  <w:num w:numId="4" w16cid:durableId="512036269">
    <w:abstractNumId w:val="15"/>
  </w:num>
  <w:num w:numId="5" w16cid:durableId="1038504400">
    <w:abstractNumId w:val="18"/>
  </w:num>
  <w:num w:numId="6" w16cid:durableId="297035316">
    <w:abstractNumId w:val="13"/>
  </w:num>
  <w:num w:numId="7" w16cid:durableId="1813789856">
    <w:abstractNumId w:val="7"/>
  </w:num>
  <w:num w:numId="8" w16cid:durableId="732124443">
    <w:abstractNumId w:val="11"/>
  </w:num>
  <w:num w:numId="9" w16cid:durableId="1373843556">
    <w:abstractNumId w:val="9"/>
  </w:num>
  <w:num w:numId="10" w16cid:durableId="1588921592">
    <w:abstractNumId w:val="14"/>
  </w:num>
  <w:num w:numId="11" w16cid:durableId="559708611">
    <w:abstractNumId w:val="3"/>
  </w:num>
  <w:num w:numId="12" w16cid:durableId="260071146">
    <w:abstractNumId w:val="1"/>
  </w:num>
  <w:num w:numId="13" w16cid:durableId="1980305264">
    <w:abstractNumId w:val="23"/>
  </w:num>
  <w:num w:numId="14" w16cid:durableId="802962908">
    <w:abstractNumId w:val="16"/>
  </w:num>
  <w:num w:numId="15" w16cid:durableId="1505588385">
    <w:abstractNumId w:val="6"/>
  </w:num>
  <w:num w:numId="16" w16cid:durableId="424108705">
    <w:abstractNumId w:val="2"/>
  </w:num>
  <w:num w:numId="17" w16cid:durableId="1362903020">
    <w:abstractNumId w:val="5"/>
  </w:num>
  <w:num w:numId="18" w16cid:durableId="162286985">
    <w:abstractNumId w:val="12"/>
  </w:num>
  <w:num w:numId="19" w16cid:durableId="351885017">
    <w:abstractNumId w:val="19"/>
  </w:num>
  <w:num w:numId="20" w16cid:durableId="1675455889">
    <w:abstractNumId w:val="8"/>
  </w:num>
  <w:num w:numId="21" w16cid:durableId="1588885504">
    <w:abstractNumId w:val="21"/>
  </w:num>
  <w:num w:numId="22" w16cid:durableId="720905564">
    <w:abstractNumId w:val="20"/>
  </w:num>
  <w:num w:numId="23" w16cid:durableId="64038373">
    <w:abstractNumId w:val="0"/>
  </w:num>
  <w:num w:numId="24" w16cid:durableId="9545584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09A"/>
    <w:rsid w:val="000D00FC"/>
    <w:rsid w:val="00120C86"/>
    <w:rsid w:val="0017095A"/>
    <w:rsid w:val="001B19E3"/>
    <w:rsid w:val="001D1C59"/>
    <w:rsid w:val="001D50D0"/>
    <w:rsid w:val="001E3B13"/>
    <w:rsid w:val="001F6A50"/>
    <w:rsid w:val="00213DDC"/>
    <w:rsid w:val="00224B12"/>
    <w:rsid w:val="0025222F"/>
    <w:rsid w:val="002565C9"/>
    <w:rsid w:val="002B7E2F"/>
    <w:rsid w:val="00316109"/>
    <w:rsid w:val="00356C52"/>
    <w:rsid w:val="00390734"/>
    <w:rsid w:val="003C2571"/>
    <w:rsid w:val="003C2D00"/>
    <w:rsid w:val="003C2F5B"/>
    <w:rsid w:val="003C3269"/>
    <w:rsid w:val="003C6BE6"/>
    <w:rsid w:val="003E656D"/>
    <w:rsid w:val="004120ED"/>
    <w:rsid w:val="00413C4B"/>
    <w:rsid w:val="00420EF5"/>
    <w:rsid w:val="00423515"/>
    <w:rsid w:val="00477905"/>
    <w:rsid w:val="004933F5"/>
    <w:rsid w:val="004D55C3"/>
    <w:rsid w:val="004E258E"/>
    <w:rsid w:val="004E7DFD"/>
    <w:rsid w:val="005372A4"/>
    <w:rsid w:val="00542130"/>
    <w:rsid w:val="005642B2"/>
    <w:rsid w:val="005733A5"/>
    <w:rsid w:val="00582A8E"/>
    <w:rsid w:val="00626362"/>
    <w:rsid w:val="00647AB9"/>
    <w:rsid w:val="006C78CF"/>
    <w:rsid w:val="006E4789"/>
    <w:rsid w:val="006F56AC"/>
    <w:rsid w:val="00726A58"/>
    <w:rsid w:val="007326F9"/>
    <w:rsid w:val="00774A6A"/>
    <w:rsid w:val="0078319C"/>
    <w:rsid w:val="00795A05"/>
    <w:rsid w:val="008208A0"/>
    <w:rsid w:val="00834E22"/>
    <w:rsid w:val="008416BE"/>
    <w:rsid w:val="0088231D"/>
    <w:rsid w:val="00907986"/>
    <w:rsid w:val="009206BA"/>
    <w:rsid w:val="009C24E5"/>
    <w:rsid w:val="00A50D72"/>
    <w:rsid w:val="00A57905"/>
    <w:rsid w:val="00AC1403"/>
    <w:rsid w:val="00AC1730"/>
    <w:rsid w:val="00AF2B5A"/>
    <w:rsid w:val="00B110D7"/>
    <w:rsid w:val="00B426F4"/>
    <w:rsid w:val="00B4621D"/>
    <w:rsid w:val="00B951AE"/>
    <w:rsid w:val="00C01CA7"/>
    <w:rsid w:val="00C21495"/>
    <w:rsid w:val="00C373ED"/>
    <w:rsid w:val="00C94DBE"/>
    <w:rsid w:val="00CB70C8"/>
    <w:rsid w:val="00CC27F2"/>
    <w:rsid w:val="00D00668"/>
    <w:rsid w:val="00D0092F"/>
    <w:rsid w:val="00D06E7F"/>
    <w:rsid w:val="00D27282"/>
    <w:rsid w:val="00D46C6F"/>
    <w:rsid w:val="00D64CBF"/>
    <w:rsid w:val="00DD2D04"/>
    <w:rsid w:val="00E06490"/>
    <w:rsid w:val="00E2756F"/>
    <w:rsid w:val="00E56325"/>
    <w:rsid w:val="00E64448"/>
    <w:rsid w:val="00E83F50"/>
    <w:rsid w:val="00EA24EF"/>
    <w:rsid w:val="00EB609A"/>
    <w:rsid w:val="00EB7760"/>
    <w:rsid w:val="00F21C82"/>
    <w:rsid w:val="00F31945"/>
    <w:rsid w:val="00F3243C"/>
    <w:rsid w:val="00F42790"/>
    <w:rsid w:val="00F456A9"/>
    <w:rsid w:val="00F6788A"/>
    <w:rsid w:val="00F755E2"/>
    <w:rsid w:val="00FB2CDB"/>
    <w:rsid w:val="00FC1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21AB5"/>
  <w15:chartTrackingRefBased/>
  <w15:docId w15:val="{72AE96E1-076A-4739-849A-CB9970292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789"/>
    <w:pPr>
      <w:spacing w:before="120" w:after="120" w:line="264" w:lineRule="auto"/>
    </w:pPr>
    <w:rPr>
      <w:sz w:val="20"/>
    </w:rPr>
  </w:style>
  <w:style w:type="paragraph" w:styleId="Heading1">
    <w:name w:val="heading 1"/>
    <w:basedOn w:val="Normal"/>
    <w:next w:val="Normal"/>
    <w:link w:val="Heading1Char"/>
    <w:uiPriority w:val="9"/>
    <w:qFormat/>
    <w:rsid w:val="00C373ED"/>
    <w:pPr>
      <w:keepNext/>
      <w:keepLines/>
      <w:pBdr>
        <w:top w:val="single" w:sz="12" w:space="1" w:color="auto"/>
      </w:pBdr>
      <w:spacing w:before="360" w:after="240"/>
      <w:outlineLvl w:val="0"/>
    </w:pPr>
    <w:rPr>
      <w:rFonts w:asciiTheme="majorHAnsi" w:eastAsiaTheme="majorEastAsia" w:hAnsiTheme="majorHAnsi" w:cstheme="majorBidi"/>
      <w:b/>
      <w:sz w:val="22"/>
      <w:szCs w:val="40"/>
    </w:rPr>
  </w:style>
  <w:style w:type="paragraph" w:styleId="Heading2">
    <w:name w:val="heading 2"/>
    <w:basedOn w:val="Normal"/>
    <w:next w:val="Normal"/>
    <w:link w:val="Heading2Char"/>
    <w:uiPriority w:val="9"/>
    <w:unhideWhenUsed/>
    <w:qFormat/>
    <w:rsid w:val="00C373ED"/>
    <w:pPr>
      <w:keepNext/>
      <w:keepLines/>
      <w:spacing w:before="240" w:after="160"/>
      <w:outlineLvl w:val="1"/>
    </w:pPr>
    <w:rPr>
      <w:rFonts w:asciiTheme="majorHAnsi" w:eastAsiaTheme="majorEastAsia" w:hAnsiTheme="majorHAnsi" w:cstheme="majorBidi"/>
      <w:b/>
      <w:sz w:val="22"/>
      <w:szCs w:val="32"/>
    </w:rPr>
  </w:style>
  <w:style w:type="paragraph" w:styleId="Heading3">
    <w:name w:val="heading 3"/>
    <w:basedOn w:val="Normal"/>
    <w:next w:val="Normal"/>
    <w:link w:val="Heading3Char"/>
    <w:uiPriority w:val="9"/>
    <w:unhideWhenUsed/>
    <w:qFormat/>
    <w:rsid w:val="00C373ED"/>
    <w:pPr>
      <w:keepNext/>
      <w:keepLines/>
      <w:tabs>
        <w:tab w:val="left" w:pos="360"/>
      </w:tabs>
      <w:spacing w:before="160" w:after="160"/>
      <w:outlineLvl w:val="2"/>
    </w:pPr>
    <w:rPr>
      <w:rFonts w:eastAsiaTheme="majorEastAsia" w:cstheme="majorBidi"/>
      <w:i/>
      <w:szCs w:val="28"/>
    </w:rPr>
  </w:style>
  <w:style w:type="paragraph" w:styleId="Heading4">
    <w:name w:val="heading 4"/>
    <w:basedOn w:val="Normal"/>
    <w:next w:val="Normal"/>
    <w:link w:val="Heading4Char"/>
    <w:uiPriority w:val="9"/>
    <w:unhideWhenUsed/>
    <w:qFormat/>
    <w:rsid w:val="00C373ED"/>
    <w:pPr>
      <w:keepNext/>
      <w:keepLines/>
      <w:spacing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AC1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3ED"/>
    <w:rPr>
      <w:rFonts w:asciiTheme="majorHAnsi" w:eastAsiaTheme="majorEastAsia" w:hAnsiTheme="majorHAnsi" w:cstheme="majorBidi"/>
      <w:b/>
      <w:sz w:val="22"/>
      <w:szCs w:val="40"/>
    </w:rPr>
  </w:style>
  <w:style w:type="character" w:customStyle="1" w:styleId="Heading2Char">
    <w:name w:val="Heading 2 Char"/>
    <w:basedOn w:val="DefaultParagraphFont"/>
    <w:link w:val="Heading2"/>
    <w:uiPriority w:val="9"/>
    <w:rsid w:val="00C373ED"/>
    <w:rPr>
      <w:rFonts w:asciiTheme="majorHAnsi" w:eastAsiaTheme="majorEastAsia" w:hAnsiTheme="majorHAnsi" w:cstheme="majorBidi"/>
      <w:b/>
      <w:sz w:val="22"/>
      <w:szCs w:val="32"/>
    </w:rPr>
  </w:style>
  <w:style w:type="character" w:customStyle="1" w:styleId="Heading3Char">
    <w:name w:val="Heading 3 Char"/>
    <w:basedOn w:val="DefaultParagraphFont"/>
    <w:link w:val="Heading3"/>
    <w:uiPriority w:val="9"/>
    <w:rsid w:val="00C373ED"/>
    <w:rPr>
      <w:rFonts w:eastAsiaTheme="majorEastAsia" w:cstheme="majorBidi"/>
      <w:i/>
      <w:sz w:val="20"/>
      <w:szCs w:val="28"/>
    </w:rPr>
  </w:style>
  <w:style w:type="character" w:customStyle="1" w:styleId="Heading4Char">
    <w:name w:val="Heading 4 Char"/>
    <w:basedOn w:val="DefaultParagraphFont"/>
    <w:link w:val="Heading4"/>
    <w:uiPriority w:val="9"/>
    <w:rsid w:val="00C373ED"/>
    <w:rPr>
      <w:rFonts w:eastAsiaTheme="majorEastAsia" w:cstheme="majorBidi"/>
      <w:b/>
      <w:iCs/>
      <w:sz w:val="20"/>
    </w:rPr>
  </w:style>
  <w:style w:type="character" w:customStyle="1" w:styleId="Heading5Char">
    <w:name w:val="Heading 5 Char"/>
    <w:basedOn w:val="DefaultParagraphFont"/>
    <w:link w:val="Heading5"/>
    <w:uiPriority w:val="9"/>
    <w:semiHidden/>
    <w:rsid w:val="00AC1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730"/>
    <w:rPr>
      <w:rFonts w:eastAsiaTheme="majorEastAsia" w:cstheme="majorBidi"/>
      <w:color w:val="272727" w:themeColor="text1" w:themeTint="D8"/>
    </w:rPr>
  </w:style>
  <w:style w:type="paragraph" w:styleId="Title">
    <w:name w:val="Title"/>
    <w:basedOn w:val="Normal"/>
    <w:next w:val="Normal"/>
    <w:link w:val="TitleChar"/>
    <w:uiPriority w:val="10"/>
    <w:qFormat/>
    <w:rsid w:val="00AC1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730"/>
    <w:pPr>
      <w:spacing w:before="160"/>
      <w:jc w:val="center"/>
    </w:pPr>
    <w:rPr>
      <w:i/>
      <w:iCs/>
      <w:color w:val="404040" w:themeColor="text1" w:themeTint="BF"/>
    </w:rPr>
  </w:style>
  <w:style w:type="character" w:customStyle="1" w:styleId="QuoteChar">
    <w:name w:val="Quote Char"/>
    <w:basedOn w:val="DefaultParagraphFont"/>
    <w:link w:val="Quote"/>
    <w:uiPriority w:val="29"/>
    <w:rsid w:val="00AC1730"/>
    <w:rPr>
      <w:i/>
      <w:iCs/>
      <w:color w:val="404040" w:themeColor="text1" w:themeTint="BF"/>
    </w:rPr>
  </w:style>
  <w:style w:type="paragraph" w:styleId="ListParagraph">
    <w:name w:val="List Paragraph"/>
    <w:basedOn w:val="Normal"/>
    <w:uiPriority w:val="34"/>
    <w:qFormat/>
    <w:rsid w:val="00C373ED"/>
    <w:pPr>
      <w:ind w:left="720"/>
      <w:contextualSpacing/>
    </w:pPr>
  </w:style>
  <w:style w:type="character" w:styleId="IntenseEmphasis">
    <w:name w:val="Intense Emphasis"/>
    <w:basedOn w:val="DefaultParagraphFont"/>
    <w:uiPriority w:val="21"/>
    <w:qFormat/>
    <w:rsid w:val="00AC1730"/>
    <w:rPr>
      <w:i/>
      <w:iCs/>
      <w:color w:val="0F4761" w:themeColor="accent1" w:themeShade="BF"/>
    </w:rPr>
  </w:style>
  <w:style w:type="paragraph" w:styleId="IntenseQuote">
    <w:name w:val="Intense Quote"/>
    <w:basedOn w:val="Normal"/>
    <w:next w:val="Normal"/>
    <w:link w:val="IntenseQuoteChar"/>
    <w:uiPriority w:val="30"/>
    <w:qFormat/>
    <w:rsid w:val="00AC1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730"/>
    <w:rPr>
      <w:i/>
      <w:iCs/>
      <w:color w:val="0F4761" w:themeColor="accent1" w:themeShade="BF"/>
    </w:rPr>
  </w:style>
  <w:style w:type="character" w:styleId="IntenseReference">
    <w:name w:val="Intense Reference"/>
    <w:basedOn w:val="DefaultParagraphFont"/>
    <w:uiPriority w:val="32"/>
    <w:qFormat/>
    <w:rsid w:val="00AC1730"/>
    <w:rPr>
      <w:b/>
      <w:bCs/>
      <w:smallCaps/>
      <w:color w:val="0F4761" w:themeColor="accent1" w:themeShade="BF"/>
      <w:spacing w:val="5"/>
    </w:rPr>
  </w:style>
  <w:style w:type="paragraph" w:styleId="Header">
    <w:name w:val="header"/>
    <w:basedOn w:val="Normal"/>
    <w:link w:val="HeaderChar"/>
    <w:uiPriority w:val="99"/>
    <w:unhideWhenUsed/>
    <w:rsid w:val="00AC17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1730"/>
  </w:style>
  <w:style w:type="paragraph" w:styleId="Footer">
    <w:name w:val="footer"/>
    <w:basedOn w:val="Normal"/>
    <w:link w:val="FooterChar"/>
    <w:uiPriority w:val="99"/>
    <w:unhideWhenUsed/>
    <w:rsid w:val="00AC17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1730"/>
  </w:style>
  <w:style w:type="character" w:styleId="LineNumber">
    <w:name w:val="line number"/>
    <w:basedOn w:val="DefaultParagraphFont"/>
    <w:uiPriority w:val="99"/>
    <w:semiHidden/>
    <w:unhideWhenUsed/>
    <w:rsid w:val="00EB609A"/>
    <w:rPr>
      <w:color w:val="7F7F7F" w:themeColor="text1" w:themeTint="80"/>
      <w:sz w:val="18"/>
    </w:rPr>
  </w:style>
  <w:style w:type="character" w:styleId="Strong">
    <w:name w:val="Strong"/>
    <w:basedOn w:val="DefaultParagraphFont"/>
    <w:uiPriority w:val="22"/>
    <w:qFormat/>
    <w:rsid w:val="00D0092F"/>
    <w:rPr>
      <w:b/>
      <w:bCs/>
    </w:rPr>
  </w:style>
  <w:style w:type="character" w:styleId="CommentReference">
    <w:name w:val="annotation reference"/>
    <w:basedOn w:val="DefaultParagraphFont"/>
    <w:uiPriority w:val="99"/>
    <w:semiHidden/>
    <w:unhideWhenUsed/>
    <w:rsid w:val="004E258E"/>
    <w:rPr>
      <w:sz w:val="16"/>
      <w:szCs w:val="16"/>
    </w:rPr>
  </w:style>
  <w:style w:type="paragraph" w:styleId="CommentText">
    <w:name w:val="annotation text"/>
    <w:basedOn w:val="Normal"/>
    <w:link w:val="CommentTextChar"/>
    <w:uiPriority w:val="99"/>
    <w:unhideWhenUsed/>
    <w:rsid w:val="004E258E"/>
    <w:pPr>
      <w:spacing w:line="240" w:lineRule="auto"/>
    </w:pPr>
    <w:rPr>
      <w:szCs w:val="20"/>
    </w:rPr>
  </w:style>
  <w:style w:type="character" w:customStyle="1" w:styleId="CommentTextChar">
    <w:name w:val="Comment Text Char"/>
    <w:basedOn w:val="DefaultParagraphFont"/>
    <w:link w:val="CommentText"/>
    <w:uiPriority w:val="99"/>
    <w:rsid w:val="004E258E"/>
    <w:rPr>
      <w:sz w:val="20"/>
      <w:szCs w:val="20"/>
    </w:rPr>
  </w:style>
  <w:style w:type="paragraph" w:styleId="CommentSubject">
    <w:name w:val="annotation subject"/>
    <w:basedOn w:val="CommentText"/>
    <w:next w:val="CommentText"/>
    <w:link w:val="CommentSubjectChar"/>
    <w:uiPriority w:val="99"/>
    <w:semiHidden/>
    <w:unhideWhenUsed/>
    <w:rsid w:val="004E258E"/>
    <w:rPr>
      <w:b/>
      <w:bCs/>
    </w:rPr>
  </w:style>
  <w:style w:type="character" w:customStyle="1" w:styleId="CommentSubjectChar">
    <w:name w:val="Comment Subject Char"/>
    <w:basedOn w:val="CommentTextChar"/>
    <w:link w:val="CommentSubject"/>
    <w:uiPriority w:val="99"/>
    <w:semiHidden/>
    <w:rsid w:val="004E258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A19E1-B58D-4A1B-B65F-3C4EE75DAD03}">
  <ds:schemaRefs>
    <ds:schemaRef ds:uri="http://schemas.openxmlformats.org/officeDocument/2006/bibliography"/>
  </ds:schemaRefs>
</ds:datastoreItem>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8</Pages>
  <Words>3374</Words>
  <Characters>19237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Miles</dc:creator>
  <cp:keywords/>
  <dc:description/>
  <cp:lastModifiedBy>Nathan Miles</cp:lastModifiedBy>
  <cp:revision>4</cp:revision>
  <dcterms:created xsi:type="dcterms:W3CDTF">2026-01-29T21:36:00Z</dcterms:created>
  <dcterms:modified xsi:type="dcterms:W3CDTF">2026-01-29T21:42:00Z</dcterms:modified>
</cp:coreProperties>
</file>