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ptos" w:cs="Aptos" w:eastAsia="Aptos" w:hAnsi="Aptos"/>
          <w:b/>
          <w:bCs/>
          <w:color w:val="1F3864"/>
          <w:sz w:val="24"/>
          <w:szCs w:val="24"/>
        </w:rPr>
        <w:t xml:space="preserve">CPFR &amp; Vendor Compliance — CPH Integration Summary</w:t>
      </w:r>
    </w:p>
    <w:p>
      <w:pPr>
        <w:spacing w:after="30"/>
        <w:jc w:val="center"/>
      </w:pPr>
      <w:r>
        <w:rPr>
          <w:rFonts w:ascii="Aptos" w:cs="Aptos" w:eastAsia="Aptos" w:hAnsi="Aptos"/>
          <w:color w:val="666666"/>
          <w:sz w:val="16"/>
          <w:szCs w:val="16"/>
        </w:rPr>
        <w:t xml:space="preserve">Prepared for CPH Engineering &amp; Portfolio Leadership  |  March 2026  |  Nathan Miles (CPFR) &amp; Nathan Nelson (VC)</w:t>
      </w:r>
    </w:p>
    <w:p>
      <w:pPr>
        <w:pBdr>
          <w:bottom w:val="single" w:color="4472C4" w:sz="4" w:space="2"/>
        </w:pBdr>
        <w:spacing w:before="100" w:after="30"/>
      </w:pPr>
      <w:r>
        <w:rPr>
          <w:rFonts w:ascii="Aptos" w:cs="Aptos" w:eastAsia="Aptos" w:hAnsi="Aptos"/>
          <w:b/>
          <w:bCs/>
          <w:color w:val="1F3864"/>
          <w:sz w:val="20"/>
          <w:szCs w:val="20"/>
        </w:rPr>
        <w:t xml:space="preserve">Context</w:t>
      </w:r>
    </w:p>
    <w:p>
      <w:pPr>
        <w:spacing w:before="30" w:after="30"/>
      </w:pPr>
      <w:r>
        <w:rPr>
          <w:rFonts w:ascii="Aptos" w:cs="Aptos" w:eastAsia="Aptos" w:hAnsi="Aptos"/>
          <w:sz w:val="18"/>
          <w:szCs w:val="18"/>
        </w:rPr>
        <w:t xml:space="preserve">Chewy’s CPFR program provides the forecast, inventory, and replenishment data that ISMs and 3,200+ vendors depend on for daily supply chain operations. Vendor Compliance provides chargeback and violation data. Both workstreams need integration into </w:t>
      </w:r>
      <w:r>
        <w:rPr>
          <w:rFonts w:ascii="Aptos" w:cs="Aptos" w:eastAsia="Aptos" w:hAnsi="Aptos"/>
          <w:b/>
          <w:bCs/>
          <w:sz w:val="18"/>
          <w:szCs w:val="18"/>
        </w:rPr>
        <w:t xml:space="preserve">Chewy Partner Hub (CPH)</w:t>
      </w:r>
      <w:r>
        <w:rPr>
          <w:rFonts w:ascii="Aptos" w:cs="Aptos" w:eastAsia="Aptos" w:hAnsi="Aptos"/>
          <w:sz w:val="18"/>
          <w:szCs w:val="18"/>
        </w:rPr>
        <w:t xml:space="preserve"> to replace fragmented, manual distribution with governed self-service access. A combined entitlement analysis spanning CPFR and VC has been completed and is on file with the OP1 submission. This initiative was submitted for OP1 2026 but was deprioritized due to late insertion into the planning cycle—not rejected on business case merit.</w:t>
      </w:r>
    </w:p>
    <w:p>
      <w:pPr>
        <w:pBdr>
          <w:bottom w:val="single" w:color="4472C4" w:sz="4" w:space="2"/>
        </w:pBdr>
        <w:spacing w:before="100" w:after="30"/>
      </w:pPr>
      <w:r>
        <w:rPr>
          <w:rFonts w:ascii="Aptos" w:cs="Aptos" w:eastAsia="Aptos" w:hAnsi="Aptos"/>
          <w:b/>
          <w:bCs/>
          <w:color w:val="1F3864"/>
          <w:sz w:val="20"/>
          <w:szCs w:val="20"/>
        </w:rPr>
        <w:t xml:space="preserve">What Has Been Built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gridCol w:w="2200"/>
      </w:tblGrid>
      <w:tr>
        <w:tc>
          <w:tcPr>
            <w:tcW w:type="dxa" w:w="32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vAlign w:val="center"/>
          </w:tcPr>
          <w:p>
            <w:pPr>
              <w:spacing w:before="0" w:after="0"/>
            </w:pPr>
            <w:r>
              <w:rPr>
                <w:rFonts w:ascii="Aptos" w:cs="Aptos" w:eastAsia="Aptos" w:hAnsi="Aptos"/>
                <w:b/>
                <w:bCs/>
                <w:color w:val="FFFFFF"/>
                <w:sz w:val="16"/>
                <w:szCs w:val="16"/>
              </w:rPr>
              <w:t xml:space="preserve">Component</w:t>
            </w:r>
          </w:p>
        </w:tc>
        <w:tc>
          <w:tcPr>
            <w:tcW w:type="dxa" w:w="54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vAlign w:val="center"/>
          </w:tcPr>
          <w:p>
            <w:pPr>
              <w:spacing w:before="0" w:after="0"/>
            </w:pPr>
            <w:r>
              <w:rPr>
                <w:rFonts w:ascii="Aptos" w:cs="Aptos" w:eastAsia="Aptos" w:hAnsi="Aptos"/>
                <w:b/>
                <w:bCs/>
                <w:color w:val="FFFFFF"/>
                <w:sz w:val="16"/>
                <w:szCs w:val="16"/>
              </w:rPr>
              <w:t xml:space="preserve">Status</w:t>
            </w:r>
          </w:p>
        </w:tc>
        <w:tc>
          <w:tcPr>
            <w:tcW w:type="dxa" w:w="22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vAlign w:val="center"/>
          </w:tcPr>
          <w:p>
            <w:pPr>
              <w:spacing w:before="0" w:after="0"/>
            </w:pPr>
            <w:r>
              <w:rPr>
                <w:rFonts w:ascii="Aptos" w:cs="Aptos" w:eastAsia="Aptos" w:hAnsi="Aptos"/>
                <w:b/>
                <w:bCs/>
                <w:color w:val="FFFFFF"/>
                <w:sz w:val="16"/>
                <w:szCs w:val="16"/>
              </w:rPr>
              <w:t xml:space="preserve">Owner</w:t>
            </w:r>
          </w:p>
        </w:tc>
      </w:tr>
      <w:tr>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sz w:val="18"/>
                <w:szCs w:val="18"/>
              </w:rPr>
              <w:t xml:space="preserve">CPFR Data Platform</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sz w:val="18"/>
                <w:szCs w:val="18"/>
              </w:rPr>
              <w:t xml:space="preserve">Snowflake semantic layer with vendor isolation, daily refresh, data lineage. </w:t>
            </w:r>
            <w:r>
              <w:rPr>
                <w:rFonts w:ascii="Aptos" w:cs="Aptos" w:eastAsia="Aptos" w:hAnsi="Aptos"/>
                <w:b/>
                <w:bCs/>
                <w:sz w:val="18"/>
                <w:szCs w:val="18"/>
              </w:rPr>
              <w:t xml:space="preserve">Delivers 3/31/2026</w:t>
            </w:r>
            <w:r>
              <w:rPr>
                <w:rFonts w:ascii="Aptos" w:cs="Aptos" w:eastAsia="Aptos" w:hAnsi="Aptos"/>
                <w:sz w:val="18"/>
                <w:szCs w:val="18"/>
              </w:rPr>
              <w:t xml:space="preserve"> at network grain (98.4% of vendors).</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sz w:val="18"/>
                <w:szCs w:val="18"/>
              </w:rPr>
              <w:t xml:space="preserve">Stefan / SC-BIE</w:t>
            </w:r>
          </w:p>
        </w:tc>
      </w:tr>
      <w:tr>
        <w:tc>
          <w:tcPr>
            <w:tcW w:type="dxa" w:w="3200"/>
            <w:tcBorders>
              <w:top w:val="single" w:color="BBBBBB" w:sz="1"/>
              <w:left w:val="single" w:color="BBBBBB" w:sz="1"/>
              <w:bottom w:val="single" w:color="BBBBBB" w:sz="1"/>
              <w:right w:val="single" w:color="BBBBBB" w:sz="1"/>
            </w:tcBorders>
            <w:shd w:fill="F2F6FA" w:val="clear"/>
            <w:tcMar>
              <w:top w:type="dxa" w:w="40"/>
              <w:left w:type="dxa" w:w="100"/>
              <w:bottom w:type="dxa" w:w="40"/>
              <w:right w:type="dxa" w:w="100"/>
            </w:tcMar>
            <w:vAlign w:val="center"/>
          </w:tcPr>
          <w:p>
            <w:pPr>
              <w:spacing w:before="0" w:after="0"/>
            </w:pPr>
            <w:r>
              <w:rPr>
                <w:rFonts w:ascii="Aptos" w:cs="Aptos" w:eastAsia="Aptos" w:hAnsi="Aptos"/>
                <w:sz w:val="18"/>
                <w:szCs w:val="18"/>
              </w:rPr>
              <w:t xml:space="preserve">VC Data Pipeline</w:t>
            </w:r>
          </w:p>
        </w:tc>
        <w:tc>
          <w:tcPr>
            <w:tcW w:type="dxa" w:w="5400"/>
            <w:tcBorders>
              <w:top w:val="single" w:color="BBBBBB" w:sz="1"/>
              <w:left w:val="single" w:color="BBBBBB" w:sz="1"/>
              <w:bottom w:val="single" w:color="BBBBBB" w:sz="1"/>
              <w:right w:val="single" w:color="BBBBBB" w:sz="1"/>
            </w:tcBorders>
            <w:shd w:fill="F2F6FA" w:val="clear"/>
            <w:tcMar>
              <w:top w:type="dxa" w:w="40"/>
              <w:left w:type="dxa" w:w="100"/>
              <w:bottom w:type="dxa" w:w="40"/>
              <w:right w:type="dxa" w:w="100"/>
            </w:tcMar>
            <w:vAlign w:val="center"/>
          </w:tcPr>
          <w:p>
            <w:pPr>
              <w:spacing w:before="0" w:after="0"/>
            </w:pPr>
            <w:r>
              <w:rPr>
                <w:rFonts w:ascii="Aptos" w:cs="Aptos" w:eastAsia="Aptos" w:hAnsi="Aptos"/>
                <w:sz w:val="18"/>
                <w:szCs w:val="18"/>
              </w:rPr>
              <w:t xml:space="preserve">Jeremy Wartnick engaged on SPARK pipeline work. Bridge to CPH integration active.</w:t>
            </w:r>
          </w:p>
        </w:tc>
        <w:tc>
          <w:tcPr>
            <w:tcW w:type="dxa" w:w="2200"/>
            <w:tcBorders>
              <w:top w:val="single" w:color="BBBBBB" w:sz="1"/>
              <w:left w:val="single" w:color="BBBBBB" w:sz="1"/>
              <w:bottom w:val="single" w:color="BBBBBB" w:sz="1"/>
              <w:right w:val="single" w:color="BBBBBB" w:sz="1"/>
            </w:tcBorders>
            <w:shd w:fill="F2F6FA" w:val="clear"/>
            <w:tcMar>
              <w:top w:type="dxa" w:w="40"/>
              <w:left w:type="dxa" w:w="100"/>
              <w:bottom w:type="dxa" w:w="40"/>
              <w:right w:type="dxa" w:w="100"/>
            </w:tcMar>
            <w:vAlign w:val="center"/>
          </w:tcPr>
          <w:p>
            <w:pPr>
              <w:spacing w:before="0" w:after="0"/>
            </w:pPr>
            <w:r>
              <w:rPr>
                <w:rFonts w:ascii="Aptos" w:cs="Aptos" w:eastAsia="Aptos" w:hAnsi="Aptos"/>
                <w:sz w:val="18"/>
                <w:szCs w:val="18"/>
              </w:rPr>
              <w:t xml:space="preserve">Nelson + Jeremy</w:t>
            </w:r>
          </w:p>
        </w:tc>
      </w:tr>
      <w:tr>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sz w:val="18"/>
                <w:szCs w:val="18"/>
              </w:rPr>
              <w:t xml:space="preserve">Requirements Artifacts</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sz w:val="18"/>
                <w:szCs w:val="18"/>
              </w:rPr>
              <w:t xml:space="preserve">Consolidated BRD (CPFR + VC), user stories, wireframes, feasibility analysis across 4 CPH architectures—</w:t>
            </w:r>
            <w:r>
              <w:rPr>
                <w:rFonts w:ascii="Aptos" w:cs="Aptos" w:eastAsia="Aptos" w:hAnsi="Aptos"/>
                <w:b/>
                <w:bCs/>
                <w:sz w:val="18"/>
                <w:szCs w:val="18"/>
              </w:rPr>
              <w:t xml:space="preserve">all complete and ready for handoff</w:t>
            </w:r>
            <w:r>
              <w:rPr>
                <w:rFonts w:ascii="Aptos" w:cs="Aptos" w:eastAsia="Aptos" w:hAnsi="Aptos"/>
                <w:sz w:val="18"/>
                <w:szCs w:val="18"/>
              </w:rPr>
              <w:t xml:space="preserve">.</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sz w:val="18"/>
                <w:szCs w:val="18"/>
              </w:rPr>
              <w:t xml:space="preserve">Miles + Nelson</w:t>
            </w:r>
          </w:p>
        </w:tc>
      </w:tr>
      <w:tr>
        <w:tc>
          <w:tcPr>
            <w:tcW w:type="dxa" w:w="3200"/>
            <w:tcBorders>
              <w:top w:val="single" w:color="BBBBBB" w:sz="1"/>
              <w:left w:val="single" w:color="BBBBBB" w:sz="1"/>
              <w:bottom w:val="single" w:color="BBBBBB" w:sz="1"/>
              <w:right w:val="single" w:color="BBBBBB" w:sz="1"/>
            </w:tcBorders>
            <w:shd w:fill="F2F6FA" w:val="clear"/>
            <w:tcMar>
              <w:top w:type="dxa" w:w="40"/>
              <w:left w:type="dxa" w:w="100"/>
              <w:bottom w:type="dxa" w:w="40"/>
              <w:right w:type="dxa" w:w="100"/>
            </w:tcMar>
            <w:vAlign w:val="center"/>
          </w:tcPr>
          <w:p>
            <w:pPr>
              <w:spacing w:before="0" w:after="0"/>
            </w:pPr>
            <w:r>
              <w:rPr>
                <w:rFonts w:ascii="Aptos" w:cs="Aptos" w:eastAsia="Aptos" w:hAnsi="Aptos"/>
                <w:sz w:val="18"/>
                <w:szCs w:val="18"/>
              </w:rPr>
              <w:t xml:space="preserve">Business Case</w:t>
            </w:r>
          </w:p>
        </w:tc>
        <w:tc>
          <w:tcPr>
            <w:tcW w:type="dxa" w:w="5400"/>
            <w:tcBorders>
              <w:top w:val="single" w:color="BBBBBB" w:sz="1"/>
              <w:left w:val="single" w:color="BBBBBB" w:sz="1"/>
              <w:bottom w:val="single" w:color="BBBBBB" w:sz="1"/>
              <w:right w:val="single" w:color="BBBBBB" w:sz="1"/>
            </w:tcBorders>
            <w:shd w:fill="F2F6FA" w:val="clear"/>
            <w:tcMar>
              <w:top w:type="dxa" w:w="40"/>
              <w:left w:type="dxa" w:w="100"/>
              <w:bottom w:type="dxa" w:w="40"/>
              <w:right w:type="dxa" w:w="100"/>
            </w:tcMar>
            <w:vAlign w:val="center"/>
          </w:tcPr>
          <w:p>
            <w:pPr>
              <w:spacing w:before="0" w:after="0"/>
            </w:pPr>
            <w:r>
              <w:rPr>
                <w:rFonts w:ascii="Aptos" w:cs="Aptos" w:eastAsia="Aptos" w:hAnsi="Aptos"/>
                <w:sz w:val="18"/>
                <w:szCs w:val="18"/>
              </w:rPr>
              <w:t xml:space="preserve">PRFAQ, entitlement analysis, and OP1 submission package on file.</w:t>
            </w:r>
          </w:p>
        </w:tc>
        <w:tc>
          <w:tcPr>
            <w:tcW w:type="dxa" w:w="2200"/>
            <w:tcBorders>
              <w:top w:val="single" w:color="BBBBBB" w:sz="1"/>
              <w:left w:val="single" w:color="BBBBBB" w:sz="1"/>
              <w:bottom w:val="single" w:color="BBBBBB" w:sz="1"/>
              <w:right w:val="single" w:color="BBBBBB" w:sz="1"/>
            </w:tcBorders>
            <w:shd w:fill="F2F6FA" w:val="clear"/>
            <w:tcMar>
              <w:top w:type="dxa" w:w="40"/>
              <w:left w:type="dxa" w:w="100"/>
              <w:bottom w:type="dxa" w:w="40"/>
              <w:right w:type="dxa" w:w="100"/>
            </w:tcMar>
            <w:vAlign w:val="center"/>
          </w:tcPr>
          <w:p>
            <w:pPr>
              <w:spacing w:before="0" w:after="0"/>
            </w:pPr>
            <w:r>
              <w:rPr>
                <w:rFonts w:ascii="Aptos" w:cs="Aptos" w:eastAsia="Aptos" w:hAnsi="Aptos"/>
                <w:sz w:val="18"/>
                <w:szCs w:val="18"/>
              </w:rPr>
              <w:t xml:space="preserve">Miles + Nelson</w:t>
            </w:r>
          </w:p>
        </w:tc>
      </w:tr>
    </w:tbl>
    <w:p>
      <w:pPr>
        <w:pBdr>
          <w:bottom w:val="single" w:color="4472C4" w:sz="4" w:space="2"/>
        </w:pBdr>
        <w:spacing w:before="100" w:after="30"/>
      </w:pPr>
      <w:r>
        <w:rPr>
          <w:rFonts w:ascii="Aptos" w:cs="Aptos" w:eastAsia="Aptos" w:hAnsi="Aptos"/>
          <w:b/>
          <w:bCs/>
          <w:color w:val="1F3864"/>
          <w:sz w:val="20"/>
          <w:szCs w:val="20"/>
        </w:rPr>
        <w:t xml:space="preserve">What Is Missing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gridCol w:w="2200"/>
      </w:tblGrid>
      <w:tr>
        <w:tc>
          <w:tcPr>
            <w:tcW w:type="dxa" w:w="32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vAlign w:val="center"/>
          </w:tcPr>
          <w:p>
            <w:pPr>
              <w:spacing w:before="0" w:after="0"/>
            </w:pPr>
            <w:r>
              <w:rPr>
                <w:rFonts w:ascii="Aptos" w:cs="Aptos" w:eastAsia="Aptos" w:hAnsi="Aptos"/>
                <w:b/>
                <w:bCs/>
                <w:color w:val="FFFFFF"/>
                <w:sz w:val="16"/>
                <w:szCs w:val="16"/>
              </w:rPr>
              <w:t xml:space="preserve">Gap</w:t>
            </w:r>
          </w:p>
        </w:tc>
        <w:tc>
          <w:tcPr>
            <w:tcW w:type="dxa" w:w="54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vAlign w:val="center"/>
          </w:tcPr>
          <w:p>
            <w:pPr>
              <w:spacing w:before="0" w:after="0"/>
            </w:pPr>
            <w:r>
              <w:rPr>
                <w:rFonts w:ascii="Aptos" w:cs="Aptos" w:eastAsia="Aptos" w:hAnsi="Aptos"/>
                <w:b/>
                <w:bCs/>
                <w:color w:val="FFFFFF"/>
                <w:sz w:val="16"/>
                <w:szCs w:val="16"/>
              </w:rPr>
              <w:t xml:space="preserve">Impact</w:t>
            </w:r>
          </w:p>
        </w:tc>
        <w:tc>
          <w:tcPr>
            <w:tcW w:type="dxa" w:w="22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vAlign w:val="center"/>
          </w:tcPr>
          <w:p>
            <w:pPr>
              <w:spacing w:before="0" w:after="0"/>
            </w:pPr>
            <w:r>
              <w:rPr>
                <w:rFonts w:ascii="Aptos" w:cs="Aptos" w:eastAsia="Aptos" w:hAnsi="Aptos"/>
                <w:b/>
                <w:bCs/>
                <w:color w:val="FFFFFF"/>
                <w:sz w:val="16"/>
                <w:szCs w:val="16"/>
              </w:rPr>
              <w:t xml:space="preserve">Depends On</w:t>
            </w:r>
          </w:p>
        </w:tc>
      </w:tr>
      <w:tr>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b/>
                <w:bCs/>
                <w:sz w:val="18"/>
                <w:szCs w:val="18"/>
              </w:rPr>
              <w:t xml:space="preserve">CPH Engineering Contact</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sz w:val="18"/>
                <w:szCs w:val="18"/>
              </w:rPr>
              <w:t xml:space="preserve">No confirmed counterpart for CPFR integration. All downstream scoping, LOE estimation, and build planning is blocked.</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sz w:val="18"/>
                <w:szCs w:val="18"/>
              </w:rPr>
              <w:t xml:space="preserve">CPH portfolio / roadmap owner</w:t>
            </w:r>
          </w:p>
        </w:tc>
      </w:tr>
      <w:tr>
        <w:tc>
          <w:tcPr>
            <w:tcW w:type="dxa" w:w="3200"/>
            <w:tcBorders>
              <w:top w:val="single" w:color="BBBBBB" w:sz="1"/>
              <w:left w:val="single" w:color="BBBBBB" w:sz="1"/>
              <w:bottom w:val="single" w:color="BBBBBB" w:sz="1"/>
              <w:right w:val="single" w:color="BBBBBB" w:sz="1"/>
            </w:tcBorders>
            <w:shd w:fill="F2F6FA" w:val="clear"/>
            <w:tcMar>
              <w:top w:type="dxa" w:w="40"/>
              <w:left w:type="dxa" w:w="100"/>
              <w:bottom w:type="dxa" w:w="40"/>
              <w:right w:type="dxa" w:w="100"/>
            </w:tcMar>
            <w:vAlign w:val="center"/>
          </w:tcPr>
          <w:p>
            <w:pPr>
              <w:spacing w:before="0" w:after="0"/>
            </w:pPr>
            <w:r>
              <w:rPr>
                <w:rFonts w:ascii="Aptos" w:cs="Aptos" w:eastAsia="Aptos" w:hAnsi="Aptos"/>
                <w:sz w:val="18"/>
                <w:szCs w:val="18"/>
              </w:rPr>
              <w:t xml:space="preserve">LOE Estimates</w:t>
            </w:r>
          </w:p>
        </w:tc>
        <w:tc>
          <w:tcPr>
            <w:tcW w:type="dxa" w:w="5400"/>
            <w:tcBorders>
              <w:top w:val="single" w:color="BBBBBB" w:sz="1"/>
              <w:left w:val="single" w:color="BBBBBB" w:sz="1"/>
              <w:bottom w:val="single" w:color="BBBBBB" w:sz="1"/>
              <w:right w:val="single" w:color="BBBBBB" w:sz="1"/>
            </w:tcBorders>
            <w:shd w:fill="F2F6FA" w:val="clear"/>
            <w:tcMar>
              <w:top w:type="dxa" w:w="40"/>
              <w:left w:type="dxa" w:w="100"/>
              <w:bottom w:type="dxa" w:w="40"/>
              <w:right w:type="dxa" w:w="100"/>
            </w:tcMar>
            <w:vAlign w:val="center"/>
          </w:tcPr>
          <w:p>
            <w:pPr>
              <w:spacing w:before="0" w:after="0"/>
            </w:pPr>
            <w:r>
              <w:rPr>
                <w:rFonts w:ascii="Aptos" w:cs="Aptos" w:eastAsia="Aptos" w:hAnsi="Aptos"/>
                <w:sz w:val="18"/>
                <w:szCs w:val="18"/>
              </w:rPr>
              <w:t xml:space="preserve">Cannot translate the resource ask into a formal funding request without engineering-informed scope and effort.</w:t>
            </w:r>
          </w:p>
        </w:tc>
        <w:tc>
          <w:tcPr>
            <w:tcW w:type="dxa" w:w="2200"/>
            <w:tcBorders>
              <w:top w:val="single" w:color="BBBBBB" w:sz="1"/>
              <w:left w:val="single" w:color="BBBBBB" w:sz="1"/>
              <w:bottom w:val="single" w:color="BBBBBB" w:sz="1"/>
              <w:right w:val="single" w:color="BBBBBB" w:sz="1"/>
            </w:tcBorders>
            <w:shd w:fill="F2F6FA" w:val="clear"/>
            <w:tcMar>
              <w:top w:type="dxa" w:w="40"/>
              <w:left w:type="dxa" w:w="100"/>
              <w:bottom w:type="dxa" w:w="40"/>
              <w:right w:type="dxa" w:w="100"/>
            </w:tcMar>
            <w:vAlign w:val="center"/>
          </w:tcPr>
          <w:p>
            <w:pPr>
              <w:spacing w:before="0" w:after="0"/>
            </w:pPr>
            <w:r>
              <w:rPr>
                <w:rFonts w:ascii="Aptos" w:cs="Aptos" w:eastAsia="Aptos" w:hAnsi="Aptos"/>
                <w:sz w:val="18"/>
                <w:szCs w:val="18"/>
              </w:rPr>
              <w:t xml:space="preserve">CPH eng contact + scoping sessions</w:t>
            </w:r>
          </w:p>
        </w:tc>
      </w:tr>
      <w:tr>
        <w:tc>
          <w:tcPr>
            <w:tcW w:type="dxa" w:w="32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sz w:val="18"/>
                <w:szCs w:val="18"/>
              </w:rPr>
              <w:t xml:space="preserve">Design Resources</w:t>
            </w:r>
          </w:p>
        </w:tc>
        <w:tc>
          <w:tcPr>
            <w:tcW w:type="dxa" w:w="54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sz w:val="18"/>
                <w:szCs w:val="18"/>
              </w:rPr>
              <w:t xml:space="preserve">UX for scorecard MVP pending resource approval. Outsource fallback available.</w:t>
            </w:r>
          </w:p>
        </w:tc>
        <w:tc>
          <w:tcPr>
            <w:tcW w:type="dxa" w:w="22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sz w:val="18"/>
                <w:szCs w:val="18"/>
              </w:rPr>
              <w:t xml:space="preserve">Richard Neely decision</w:t>
            </w:r>
          </w:p>
        </w:tc>
      </w:tr>
    </w:tbl>
    <w:p>
      <w:pPr>
        <w:pBdr>
          <w:bottom w:val="single" w:color="4472C4" w:sz="4" w:space="2"/>
        </w:pBdr>
        <w:spacing w:before="100" w:after="30"/>
      </w:pPr>
      <w:r>
        <w:rPr>
          <w:rFonts w:ascii="Aptos" w:cs="Aptos" w:eastAsia="Aptos" w:hAnsi="Aptos"/>
          <w:b/>
          <w:bCs/>
          <w:color w:val="1F3864"/>
          <w:sz w:val="20"/>
          <w:szCs w:val="20"/>
        </w:rPr>
        <w:t xml:space="preserve">The Ask</w:t>
      </w:r>
    </w:p>
    <w:p>
      <w:pPr>
        <w:spacing w:before="30" w:after="30"/>
      </w:pPr>
      <w:r>
        <w:rPr>
          <w:rFonts w:ascii="Aptos" w:cs="Aptos" w:eastAsia="Aptos" w:hAnsi="Aptos"/>
          <w:b/>
          <w:bCs/>
          <w:sz w:val="18"/>
          <w:szCs w:val="18"/>
        </w:rPr>
        <w:t xml:space="preserve">We are not asking for a build commitment today. </w:t>
      </w:r>
      <w:r>
        <w:rPr>
          <w:rFonts w:ascii="Aptos" w:cs="Aptos" w:eastAsia="Aptos" w:hAnsi="Aptos"/>
          <w:sz w:val="18"/>
          <w:szCs w:val="18"/>
        </w:rPr>
        <w:t xml:space="preserve">We are asking for the engineering engagement needed to produce a credible LOE estimate, which is the prerequisite for any funding request—whether that is OP2 2026, OP1 2027, or another vehicle.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4000"/>
        <w:gridCol w:w="2600"/>
      </w:tblGrid>
      <w:tr>
        <w:tc>
          <w:tcPr>
            <w:tcW w:type="dxa" w:w="42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vAlign w:val="center"/>
          </w:tcPr>
          <w:p>
            <w:pPr>
              <w:spacing w:before="0" w:after="0"/>
            </w:pPr>
            <w:r>
              <w:rPr>
                <w:rFonts w:ascii="Aptos" w:cs="Aptos" w:eastAsia="Aptos" w:hAnsi="Aptos"/>
                <w:b/>
                <w:bCs/>
                <w:color w:val="FFFFFF"/>
                <w:sz w:val="16"/>
                <w:szCs w:val="16"/>
              </w:rPr>
              <w:t xml:space="preserve">What We Need</w:t>
            </w:r>
          </w:p>
        </w:tc>
        <w:tc>
          <w:tcPr>
            <w:tcW w:type="dxa" w:w="40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vAlign w:val="center"/>
          </w:tcPr>
          <w:p>
            <w:pPr>
              <w:spacing w:before="0" w:after="0"/>
            </w:pPr>
            <w:r>
              <w:rPr>
                <w:rFonts w:ascii="Aptos" w:cs="Aptos" w:eastAsia="Aptos" w:hAnsi="Aptos"/>
                <w:b/>
                <w:bCs/>
                <w:color w:val="FFFFFF"/>
                <w:sz w:val="16"/>
                <w:szCs w:val="16"/>
              </w:rPr>
              <w:t xml:space="preserve">Why It Matters</w:t>
            </w:r>
          </w:p>
        </w:tc>
        <w:tc>
          <w:tcPr>
            <w:tcW w:type="dxa" w:w="26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vAlign w:val="center"/>
          </w:tcPr>
          <w:p>
            <w:pPr>
              <w:spacing w:before="0" w:after="0"/>
            </w:pPr>
            <w:r>
              <w:rPr>
                <w:rFonts w:ascii="Aptos" w:cs="Aptos" w:eastAsia="Aptos" w:hAnsi="Aptos"/>
                <w:b/>
                <w:bCs/>
                <w:color w:val="FFFFFF"/>
                <w:sz w:val="16"/>
                <w:szCs w:val="16"/>
              </w:rPr>
              <w:t xml:space="preserve">Ready From Our Side</w:t>
            </w:r>
          </w:p>
        </w:tc>
      </w:tr>
      <w:tr>
        <w:tc>
          <w:tcPr>
            <w:tcW w:type="dxa" w:w="42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b/>
                <w:bCs/>
                <w:sz w:val="18"/>
                <w:szCs w:val="18"/>
              </w:rPr>
              <w:t xml:space="preserve">A named CPH eng contact</w:t>
            </w:r>
            <w:r>
              <w:rPr>
                <w:rFonts w:ascii="Aptos" w:cs="Aptos" w:eastAsia="Aptos" w:hAnsi="Aptos"/>
                <w:sz w:val="18"/>
                <w:szCs w:val="18"/>
              </w:rPr>
              <w:t xml:space="preserve"> for a scoping session</w:t>
            </w:r>
          </w:p>
        </w:tc>
        <w:tc>
          <w:tcPr>
            <w:tcW w:type="dxa" w:w="40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sz w:val="18"/>
                <w:szCs w:val="18"/>
              </w:rPr>
              <w:t xml:space="preserve">Converts abstract planning into concrete technical conversation. Zero ramp-up: all requirements artifacts exist.</w:t>
            </w:r>
          </w:p>
        </w:tc>
        <w:tc>
          <w:tcPr>
            <w:tcW w:type="dxa" w:w="2600"/>
            <w:tcBorders>
              <w:top w:val="single" w:color="BBBBBB" w:sz="1"/>
              <w:left w:val="single" w:color="BBBBBB" w:sz="1"/>
              <w:bottom w:val="single" w:color="BBBBBB" w:sz="1"/>
              <w:right w:val="single" w:color="BBBBBB" w:sz="1"/>
            </w:tcBorders>
            <w:tcMar>
              <w:top w:type="dxa" w:w="40"/>
              <w:left w:type="dxa" w:w="100"/>
              <w:bottom w:type="dxa" w:w="40"/>
              <w:right w:type="dxa" w:w="100"/>
            </w:tcMar>
            <w:vAlign w:val="center"/>
          </w:tcPr>
          <w:p>
            <w:pPr>
              <w:spacing w:before="0" w:after="0"/>
            </w:pPr>
            <w:r>
              <w:rPr>
                <w:rFonts w:ascii="Aptos" w:cs="Aptos" w:eastAsia="Aptos" w:hAnsi="Aptos"/>
                <w:sz w:val="18"/>
                <w:szCs w:val="18"/>
              </w:rPr>
              <w:t xml:space="preserve">BRD, user stories, wireframes, feasibility analysis</w:t>
            </w:r>
          </w:p>
        </w:tc>
      </w:tr>
      <w:tr>
        <w:tc>
          <w:tcPr>
            <w:tcW w:type="dxa" w:w="4200"/>
            <w:tcBorders>
              <w:top w:val="single" w:color="BBBBBB" w:sz="1"/>
              <w:left w:val="single" w:color="BBBBBB" w:sz="1"/>
              <w:bottom w:val="single" w:color="BBBBBB" w:sz="1"/>
              <w:right w:val="single" w:color="BBBBBB" w:sz="1"/>
            </w:tcBorders>
            <w:shd w:fill="F2F6FA" w:val="clear"/>
            <w:tcMar>
              <w:top w:type="dxa" w:w="40"/>
              <w:left w:type="dxa" w:w="100"/>
              <w:bottom w:type="dxa" w:w="40"/>
              <w:right w:type="dxa" w:w="100"/>
            </w:tcMar>
            <w:vAlign w:val="center"/>
          </w:tcPr>
          <w:p>
            <w:pPr>
              <w:spacing w:before="0" w:after="0"/>
            </w:pPr>
            <w:r>
              <w:rPr>
                <w:rFonts w:ascii="Aptos" w:cs="Aptos" w:eastAsia="Aptos" w:hAnsi="Aptos"/>
                <w:sz w:val="18"/>
                <w:szCs w:val="18"/>
              </w:rPr>
              <w:t xml:space="preserve">LOE estimate</w:t>
            </w:r>
            <w:r>
              <w:rPr>
                <w:rFonts w:ascii="Aptos" w:cs="Aptos" w:eastAsia="Aptos" w:hAnsi="Aptos"/>
                <w:sz w:val="18"/>
                <w:szCs w:val="18"/>
              </w:rPr>
              <w:t xml:space="preserve"> within ~1 month of engagement</w:t>
            </w:r>
          </w:p>
        </w:tc>
        <w:tc>
          <w:tcPr>
            <w:tcW w:type="dxa" w:w="4000"/>
            <w:tcBorders>
              <w:top w:val="single" w:color="BBBBBB" w:sz="1"/>
              <w:left w:val="single" w:color="BBBBBB" w:sz="1"/>
              <w:bottom w:val="single" w:color="BBBBBB" w:sz="1"/>
              <w:right w:val="single" w:color="BBBBBB" w:sz="1"/>
            </w:tcBorders>
            <w:shd w:fill="F2F6FA" w:val="clear"/>
            <w:tcMar>
              <w:top w:type="dxa" w:w="40"/>
              <w:left w:type="dxa" w:w="100"/>
              <w:bottom w:type="dxa" w:w="40"/>
              <w:right w:type="dxa" w:w="100"/>
            </w:tcMar>
            <w:vAlign w:val="center"/>
          </w:tcPr>
          <w:p>
            <w:pPr>
              <w:spacing w:before="0" w:after="0"/>
            </w:pPr>
            <w:r>
              <w:rPr>
                <w:rFonts w:ascii="Aptos" w:cs="Aptos" w:eastAsia="Aptos" w:hAnsi="Aptos"/>
                <w:sz w:val="18"/>
                <w:szCs w:val="18"/>
              </w:rPr>
              <w:t xml:space="preserve">Enables a properly scoped funding request. Without LOE, the entitlement opportunity identified in the OP1 analysis remains unrealizable.</w:t>
            </w:r>
          </w:p>
        </w:tc>
        <w:tc>
          <w:tcPr>
            <w:tcW w:type="dxa" w:w="2600"/>
            <w:tcBorders>
              <w:top w:val="single" w:color="BBBBBB" w:sz="1"/>
              <w:left w:val="single" w:color="BBBBBB" w:sz="1"/>
              <w:bottom w:val="single" w:color="BBBBBB" w:sz="1"/>
              <w:right w:val="single" w:color="BBBBBB" w:sz="1"/>
            </w:tcBorders>
            <w:shd w:fill="F2F6FA" w:val="clear"/>
            <w:tcMar>
              <w:top w:type="dxa" w:w="40"/>
              <w:left w:type="dxa" w:w="100"/>
              <w:bottom w:type="dxa" w:w="40"/>
              <w:right w:type="dxa" w:w="100"/>
            </w:tcMar>
            <w:vAlign w:val="center"/>
          </w:tcPr>
          <w:p>
            <w:pPr>
              <w:spacing w:before="0" w:after="0"/>
            </w:pPr>
            <w:r>
              <w:rPr>
                <w:rFonts w:ascii="Aptos" w:cs="Aptos" w:eastAsia="Aptos" w:hAnsi="Aptos"/>
                <w:sz w:val="18"/>
                <w:szCs w:val="18"/>
              </w:rPr>
              <w:t xml:space="preserve">Requirements handoff ready; PM capacity committed</w:t>
            </w:r>
          </w:p>
        </w:tc>
      </w:tr>
    </w:tbl>
    <w:p>
      <w:pPr>
        <w:pBdr>
          <w:bottom w:val="single" w:color="4472C4" w:sz="4" w:space="2"/>
        </w:pBdr>
        <w:spacing w:before="100" w:after="30"/>
      </w:pPr>
      <w:r>
        <w:rPr>
          <w:rFonts w:ascii="Aptos" w:cs="Aptos" w:eastAsia="Aptos" w:hAnsi="Aptos"/>
          <w:b/>
          <w:bCs/>
          <w:color w:val="1F3864"/>
          <w:sz w:val="20"/>
          <w:szCs w:val="20"/>
        </w:rPr>
        <w:t xml:space="preserve">Why Now</w:t>
      </w:r>
    </w:p>
    <w:p>
      <w:pPr>
        <w:spacing w:before="30" w:after="30"/>
      </w:pPr>
      <w:r>
        <w:rPr>
          <w:rFonts w:ascii="Aptos" w:cs="Aptos" w:eastAsia="Aptos" w:hAnsi="Aptos"/>
          <w:sz w:val="18"/>
          <w:szCs w:val="18"/>
        </w:rPr>
        <w:t xml:space="preserve">The CPFR data platform—the harder, more capital-intensive investment—delivers March 31. The foundation has been built. The marginal investment to surface this data through CPH is bounded and clear. Each month without portal integration means the platform investment sits idle while manual processes continue scaling toward 4,150+ vendors, with a documented data leakage vulnerability that materialized in January 2026. Amazon (Vendor Central) and Walmart (Luminate) already provide equivalent portal-based vendor data access to their vendor partners.</w:t>
      </w:r>
    </w:p>
    <w:p>
      <w:pPr>
        <w:pBdr>
          <w:top w:val="single" w:color="AAAAAA" w:sz="2" w:space="4"/>
        </w:pBdr>
        <w:spacing w:before="100" w:after="0"/>
      </w:pPr>
      <w:r>
        <w:rPr>
          <w:rFonts w:ascii="Aptos" w:cs="Aptos" w:eastAsia="Aptos" w:hAnsi="Aptos"/>
          <w:b/>
          <w:bCs/>
          <w:color w:val="666666"/>
          <w:sz w:val="16"/>
          <w:szCs w:val="16"/>
        </w:rPr>
        <w:t xml:space="preserve">Questions or next steps: </w:t>
      </w:r>
      <w:r>
        <w:rPr>
          <w:rFonts w:ascii="Aptos" w:cs="Aptos" w:eastAsia="Aptos" w:hAnsi="Aptos"/>
          <w:color w:val="666666"/>
          <w:sz w:val="16"/>
          <w:szCs w:val="16"/>
        </w:rPr>
        <w:t xml:space="preserve">Nathan Miles (CPFR) nmiles1@chewy.com  |  Nathan Nelson (VC)  |  Phanindher (Program Management)</w:t>
      </w:r>
    </w:p>
    <w:sectPr>
      <w:pgSz w:w="12240" w:h="15840" w:orient="portrait"/>
      <w:pgMar w:top="540" w:right="720" w:bottom="4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Aptos" w:cs="Aptos" w:eastAsia="Aptos" w:hAnsi="Aptos"/>
        <w:sz w:val="18"/>
        <w:szCs w:val="1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2026-03-20T07:35:28.461Z</dcterms:created>
  <dcterms:modified xsi:type="dcterms:W3CDTF">2026-03-20T07:35:28.462Z</dcterms:modified>
</cp:coreProperties>
</file>

<file path=docProps/custom.xml><?xml version="1.0" encoding="utf-8"?>
<Properties xmlns="http://schemas.openxmlformats.org/officeDocument/2006/custom-properties" xmlns:vt="http://schemas.openxmlformats.org/officeDocument/2006/docPropsVTypes"/>
</file>