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1C7B" w14:textId="77777777" w:rsidR="00C37A9B" w:rsidRDefault="00000000">
      <w:pPr>
        <w:pStyle w:val="Heading1"/>
      </w:pPr>
      <w:bookmarkStart w:id="0" w:name="prfaq-cpfr-module-in-chewy-partner-hub"/>
      <w:r>
        <w:t>PRFAQ: CPFR Module in Chewy Partner Hub</w:t>
      </w:r>
    </w:p>
    <w:p w14:paraId="4E20A9B9" w14:textId="77777777" w:rsidR="00C37A9B" w:rsidRDefault="00000000">
      <w:pPr>
        <w:pStyle w:val="FirstParagraph"/>
      </w:pPr>
      <w:r>
        <w:rPr>
          <w:b/>
          <w:bCs/>
        </w:rPr>
        <w:t>Status:</w:t>
      </w:r>
      <w:r>
        <w:t xml:space="preserve"> Working Draft</w:t>
      </w:r>
      <w:r>
        <w:br/>
      </w:r>
      <w:r>
        <w:rPr>
          <w:b/>
          <w:bCs/>
        </w:rPr>
        <w:t>Last Updated:</w:t>
      </w:r>
      <w:r>
        <w:t xml:space="preserve"> 2026-03-08</w:t>
      </w:r>
      <w:r>
        <w:br/>
      </w:r>
      <w:r>
        <w:rPr>
          <w:b/>
          <w:bCs/>
        </w:rPr>
        <w:t>Author:</w:t>
      </w:r>
      <w:r>
        <w:t xml:space="preserve"> Nathan Miles</w:t>
      </w:r>
    </w:p>
    <w:p w14:paraId="089D8654" w14:textId="77777777" w:rsidR="00C37A9B" w:rsidRPr="00AD2396" w:rsidRDefault="00000000" w:rsidP="00AD2396">
      <w:pPr>
        <w:pStyle w:val="Heading2"/>
      </w:pPr>
      <w:bookmarkStart w:id="1" w:name="press-release"/>
      <w:r w:rsidRPr="00AD2396">
        <w:t>PRESS RELEASE</w:t>
      </w:r>
    </w:p>
    <w:p w14:paraId="1E370C13" w14:textId="790F4086" w:rsidR="00C37A9B" w:rsidRDefault="00000000">
      <w:pPr>
        <w:pStyle w:val="Heading3"/>
      </w:pPr>
      <w:bookmarkStart w:id="2" w:name="X9b84ebce33f8b5289188201401b3abe6c6391b4"/>
      <w:r>
        <w:t>Chewy Partner Hub Expands CPFR Module, Bringing Daily Supply Chain Visibility to 3,200+ Vendors</w:t>
      </w:r>
    </w:p>
    <w:p w14:paraId="40D6FA49" w14:textId="77777777" w:rsidR="00C37A9B" w:rsidRDefault="00000000">
      <w:pPr>
        <w:pStyle w:val="FirstParagraph"/>
      </w:pPr>
      <w:r>
        <w:rPr>
          <w:i/>
          <w:iCs/>
        </w:rPr>
        <w:t>Vendors gain self-service access to the forecast and replenishment data that drives their business—refreshed daily instead of weekly, with vendors controlling their own distribution.</w:t>
      </w:r>
    </w:p>
    <w:p w14:paraId="124CA401" w14:textId="77777777" w:rsidR="00C37A9B" w:rsidRDefault="00000000" w:rsidP="00AD2396">
      <w:pPr>
        <w:pStyle w:val="BodyText"/>
      </w:pPr>
      <w:r>
        <w:rPr>
          <w:b/>
          <w:bCs/>
        </w:rPr>
        <w:t>Plantation, FL — June 2026</w:t>
      </w:r>
      <w:r>
        <w:t xml:space="preserve"> — Chewy, Inc. (NYSE: CHWY) today announced the launch of a new Collaborative Planning, Forecasting &amp; Replenishment (CPFR) module within Chewy Partner Hub (CPH), the company’s digital platform for supply chain partners. The new module gives more than 3,200 vendors—from owner-operated specialty brands to enterprise partners like Blue Buffalo, Mars, and Nestlé Purina—self-service access to their data on a daily-refreshed basis, replacing constrained weekly emailed snapshots as the sole access channel. Vendors can retrieve current and historical reports on demand, access data any day of the week, and manage their own internal distribution lists directly through the portal. The CPFR module joins a growing set of supply chain intelligence capabilities planned for Chewy Partner Hub, building on a governed data platform purpose-built for vendor-isolated, tiered data sharing at scale.</w:t>
      </w:r>
    </w:p>
    <w:p w14:paraId="213C79E8" w14:textId="77777777" w:rsidR="00C37A9B" w:rsidRDefault="00000000">
      <w:pPr>
        <w:pStyle w:val="BodyText"/>
      </w:pPr>
      <w:r>
        <w:t>Today, Chewy shares CPFR data with vendors through weekly emailed reports—a process that has scaled from about a thousand vendors in 2022 to more than 3,200 while maintaining uninterrupted service, but whose maintenance demands have grown disproportionately. Vendors who need to verify a data point mid-week—a forecast discrepancy, an on-order quantity question—must contact their Chewy Instock Manager and wait for a manual re-pull, a cycle that can take days or else must defer to the following week’s report. Vendors have no ability to retrieve historical reports on demand, no access to data refreshed more frequently than once per week, and no direct control over which members of their own organization receive distributions. Meanwhile, Chewy’s Instock Managers spend significant time on routine data fulfillment—pulling, re-pulling, and redistributing information—that could be redirected toward the higher-value planning and analysis work that drives supply chain performance.</w:t>
      </w:r>
    </w:p>
    <w:p w14:paraId="281D6DF5" w14:textId="77777777" w:rsidR="00C37A9B" w:rsidRDefault="00000000">
      <w:pPr>
        <w:pStyle w:val="BodyText"/>
      </w:pPr>
      <w:r>
        <w:t>With the CPFR module in Chewy Partner Hub, vendors access their forecast, inventory, and replenishment data on demand through a secure, self-service portal refreshed daily. When a vendor spots a discrepancy after Monday’s automated report, they can check current data directly rather than waiting for a manual re-pull from their Instock Manager. Historical reports are available at any time, and vendors manage their own distribution lists—adding or removing recipients without routing changes through Chewy team members. For Instock Managers, this means mid-week verification requests and ad-hoc data pulls give way toward directing vendors into the portal, freeing time for collaborative planning and supply chain analysis. The portal draws from a governed data platform—purpose-built with vendor isolation, tiered access controls, and full data lineage—that is designed to scale as Chewy Partner Hub expands to additional supply chain capabilities.</w:t>
      </w:r>
    </w:p>
    <w:p w14:paraId="0C101E15" w14:textId="77777777" w:rsidR="00C37A9B" w:rsidRDefault="00000000">
      <w:pPr>
        <w:pStyle w:val="BodyText"/>
      </w:pPr>
      <w:r>
        <w:t>“Before this, if I needed to check a number on a Wednesday, I was emailing my Chewy contact and hoping to hear back before the end of the week,” said Sarah Kowalski, Director of Supply Chain at Church &amp; Dwight. “Now my team pulls what they need when they need it, and I decide who on my side has access. That’s how a partnership should work.”</w:t>
      </w:r>
    </w:p>
    <w:p w14:paraId="615EC971" w14:textId="77777777" w:rsidR="00C37A9B" w:rsidRDefault="00000000">
      <w:pPr>
        <w:pStyle w:val="BodyText"/>
      </w:pPr>
      <w:r>
        <w:t>“Our vendors are our partners,” said Dave Livesay, Sr. Director of Inventory Management at Chewy. “Partners deserve the kind of access that lets them plan with intention and to swiftly respond to the needs of Chewy’s customers. The CPFR module in Chewy Partner Hub delivers that—and it’s built on a foundation that scales with us and with our vendors.”</w:t>
      </w:r>
    </w:p>
    <w:p w14:paraId="0C62EEA3" w14:textId="77777777" w:rsidR="00C37A9B" w:rsidRDefault="00000000">
      <w:pPr>
        <w:pStyle w:val="BodyText"/>
      </w:pPr>
      <w:r>
        <w:t>The CPFR module will be available to all enrolled Chewy Partner Hub vendors at launch, with onboarding phased by tier to ensure a smooth transition. Vendors currently receiving weekly CPFR reports will retain uninterrupted access to those reports while gaining portal access as an additional channel. For more information on Chewy Partner Hub and its expanding supply chain capabilities, vendors can contact their Chewy Instock Manager or visit the Chewy Partner Hub portal directly.</w:t>
      </w:r>
    </w:p>
    <w:p w14:paraId="50B84B1C" w14:textId="77777777" w:rsidR="00C37A9B" w:rsidRDefault="00000000">
      <w:pPr>
        <w:pStyle w:val="Heading2"/>
      </w:pPr>
      <w:bookmarkStart w:id="3" w:name="internal-faq"/>
      <w:bookmarkEnd w:id="1"/>
      <w:bookmarkEnd w:id="2"/>
      <w:r>
        <w:lastRenderedPageBreak/>
        <w:t>INTERNAL FAQ</w:t>
      </w:r>
    </w:p>
    <w:p w14:paraId="492649A9" w14:textId="77777777" w:rsidR="00C37A9B" w:rsidRDefault="00000000">
      <w:pPr>
        <w:pStyle w:val="FirstParagraph"/>
      </w:pPr>
      <w:r>
        <w:rPr>
          <w:b/>
          <w:bCs/>
        </w:rPr>
        <w:t>Q: This initiative was submitted for OP1 and didn’t make the cut. Why should we invest through allocation now rather than resubmit in the next planning cycle?</w:t>
      </w:r>
    </w:p>
    <w:p w14:paraId="5CE4C617" w14:textId="77777777" w:rsidR="00C37A9B" w:rsidRDefault="00000000">
      <w:pPr>
        <w:pStyle w:val="BodyText"/>
      </w:pPr>
      <w:r>
        <w:t>The CPFR data platform—the most capital-intensive and technically complex component of this initiative—is on track for delivery on March 31, 2026. This investment has already been made. What remains is the portal integration: connecting a ready platform to the vendor-facing experience in Chewy Partner Hub. The marginal effort to realize value on the existing investment is bounded, well-scoped, and largely dependent on CPH engineering capacity rather than net-new infrastructure.</w:t>
      </w:r>
    </w:p>
    <w:p w14:paraId="4F903732" w14:textId="77777777" w:rsidR="00C37A9B" w:rsidRDefault="00000000">
      <w:pPr>
        <w:pStyle w:val="BodyText"/>
      </w:pPr>
      <w:r>
        <w:t>Waiting for the next OP1 cycle introduces three costs. First, a completed data platform sits unconsumed—the engineering investment yields no vendor-facing value until the portal work is done. Second, the manual email-based distribution process continues to scale with a vendor base that has grown from roughly 1,000 to over 3,200 and has line-of-sight to 4,150, with maintenance demands growing disproportionately. Third, every week that vendor distribution lists remain Chewy-managed is another week of exposure to misdirected proprietary data—an event that has already occurred in isolated incidents with limited impact, but whose blast radius grows with the vendor base.</w:t>
      </w:r>
    </w:p>
    <w:p w14:paraId="6AA26702" w14:textId="77777777" w:rsidR="00C37A9B" w:rsidRDefault="00000000">
      <w:pPr>
        <w:pStyle w:val="BodyText"/>
      </w:pPr>
      <w:r>
        <w:t>The OP1 submission was not rejected on the merits of its business case; it was deprioritized due to competing initiatives and late insertion into the planning cycle. The underlying value proposition—~$1.4M in recurring annual benefit from ISM capacity reallocation alone, documented cost avoidance of $5M from a single forecast threshold event, and ~$15M in estimated annual exposure from recurring threshold issues—remains intact. Allocation-funded progress now de-risks and accelerates a future OP1 submission by demonstrating delivery momentum and reducing the remaining scope to a well-defined increment.</w:t>
      </w:r>
    </w:p>
    <w:p w14:paraId="73569C81" w14:textId="77777777" w:rsidR="00C37A9B" w:rsidRDefault="00000000">
      <w:pPr>
        <w:pStyle w:val="BodyText"/>
      </w:pPr>
      <w:r>
        <w:rPr>
          <w:b/>
          <w:bCs/>
        </w:rPr>
        <w:t>Q: How does the CPFR module maintain a unified vendor experience in Chewy Partner Hub alongside other planned capabilities?</w:t>
      </w:r>
    </w:p>
    <w:p w14:paraId="5CBEE677" w14:textId="77777777" w:rsidR="00C37A9B" w:rsidRDefault="00000000">
      <w:pPr>
        <w:pStyle w:val="BodyText"/>
      </w:pPr>
      <w:r>
        <w:t>The CPFR module is built within the existing Chewy Partner Hub architecture, using the same navigation patterns, design system, and vendor-authentication framework that will underpin all CPH capabilities. Vendor isolation, entitlement controls, and data governance are enforced at the platform layer—not implemented separately per module—so the experience is structurally consistent regardless of how many capabilities are added. The CPFR and Vendor Compliance workstreams share a consolidated BRD and are coordinated through a unified integration plan specifically to prevent the kind of fragmentation that erodes vendor trust when modules feel like they were built for different users. As additional capabilities come online, they inherit this shared foundation rather than introducing parallel interfaces.</w:t>
      </w:r>
    </w:p>
    <w:p w14:paraId="229C48C3" w14:textId="77777777" w:rsidR="00C37A9B" w:rsidRDefault="00000000">
      <w:pPr>
        <w:pStyle w:val="BodyText"/>
      </w:pPr>
      <w:r>
        <w:rPr>
          <w:b/>
          <w:bCs/>
        </w:rPr>
        <w:t>Q: What engineering resources are required to deliver the CPFR module in CPH, and what is the current readiness state of the teams and assets involved?</w:t>
      </w:r>
    </w:p>
    <w:p w14:paraId="60A01909" w14:textId="77777777" w:rsidR="00C37A9B" w:rsidRDefault="00000000">
      <w:pPr>
        <w:pStyle w:val="BodyText"/>
      </w:pPr>
      <w:r>
        <w:t>The CPFR data platform is being delivered by SC-BIE and is on track for March 31, 2026 at network grain, covering approximately 99.6% of active vendors. The remaining work is portal integration within CPH: connecting the platform to the vendor-facing experience, implementing vendor-managed distribution, and surfacing scorecard and report-retrieval interfaces. This scope has been defined through a consolidated BRD, detailed user stories, wireframes, and a feasibility analysis completed in collaboration with teams that have since rotated to other priorities. What is needed is CPH development capacity, a named technical counterpart, and a dedicated coordination function to drive cross-team translation between business requirements and engineering execution—a role that five successive departures have left unfilled and that is currently being carried through allocation.</w:t>
      </w:r>
    </w:p>
    <w:p w14:paraId="78ED50F2" w14:textId="77777777" w:rsidR="00C37A9B" w:rsidRDefault="00000000">
      <w:pPr>
        <w:pStyle w:val="BodyText"/>
      </w:pPr>
      <w:r>
        <w:rPr>
          <w:b/>
          <w:bCs/>
        </w:rPr>
        <w:t>Q: How is the CPFR module in CPH different from what vendors already receive through VDS?</w:t>
      </w:r>
    </w:p>
    <w:p w14:paraId="43475C95" w14:textId="77777777" w:rsidR="00C37A9B" w:rsidRDefault="00000000">
      <w:pPr>
        <w:pStyle w:val="BodyText"/>
      </w:pPr>
      <w:r>
        <w:t xml:space="preserve">VDS is a premium analytics service providing broad, deep supply chain intelligence across a wide range of data domains to 65 strategic vendors. CPFR is a narrower, complementary dataset focused specifically on forecast, inventory, and replenishment data, provided at no cost to all enrolled vendors. The two serve fundamentally different needs: VDS serves vendors with dedicated analytical teams whose scope extends well beyond what CPFR covers, while the CPFR module in CPH serves the much larger population of vendors—over 3,200 today—whose primary need is timely access to the planning and replenishment data that directly supports their day-to-day supply chain operations. The portal does not replicate VDS </w:t>
      </w:r>
      <w:r>
        <w:lastRenderedPageBreak/>
        <w:t>functionality; it provides a self-service access channel for data that vendors already receive today via email, with the addition of daily refresh and vendor-managed distribution.</w:t>
      </w:r>
    </w:p>
    <w:p w14:paraId="23B7A5F5" w14:textId="77777777" w:rsidR="00C37A9B" w:rsidRDefault="00000000">
      <w:pPr>
        <w:pStyle w:val="BodyText"/>
      </w:pPr>
      <w:r>
        <w:rPr>
          <w:b/>
          <w:bCs/>
        </w:rPr>
        <w:t>Q: What is the measurable impact, and what does success look like in 12 months?</w:t>
      </w:r>
    </w:p>
    <w:p w14:paraId="57667C13" w14:textId="77777777" w:rsidR="00C37A9B" w:rsidRDefault="00000000">
      <w:pPr>
        <w:pStyle w:val="BodyText"/>
      </w:pPr>
      <w:r>
        <w:t>The CPFR module delivers ~$1.4M in recurring annual benefit through ISM capacity reallocation, vendor enablement, improved data governance, and cost avoidance. Beyond the recurring baseline, CPFR-related forecast threshold mismatches carry an estimated ~$15M in annual exposure, with a single documented event already accounting for $5M in cost avoidance. At 12 months post-launch, success looks like: vendors representing the majority of CPFR-covered revenue actively accessing data through CPH, a measurable reduction in mid-week ISM data-pull requests, vendor-managed distribution lists adopted broadly enough to eliminate Chewy-managed distribution as the default, and the platform proven as a foundation for additional CPH supply chain capabilities. Leading indicators within the first 90 days include vendor portal adoption rate, distribution-list self-management uptake, and reduction in ISM support contacts related to routine data requests.</w:t>
      </w:r>
    </w:p>
    <w:p w14:paraId="11B2B71A" w14:textId="77777777" w:rsidR="00C37A9B" w:rsidRDefault="00000000">
      <w:pPr>
        <w:pStyle w:val="BodyText"/>
      </w:pPr>
      <w:r>
        <w:rPr>
          <w:b/>
          <w:bCs/>
        </w:rPr>
        <w:t>Q: What is the current state of business requirements, user research, and design readiness?</w:t>
      </w:r>
    </w:p>
    <w:p w14:paraId="10271DE4" w14:textId="77777777" w:rsidR="00C37A9B" w:rsidRDefault="00000000">
      <w:pPr>
        <w:pStyle w:val="BodyText"/>
      </w:pPr>
      <w:r>
        <w:t>Business requirements are fully documented in a consolidated BRD covering both the CPFR and Vendor Compliance workstreams. User stories have been written and mapped to portal capabilities. Wireframes for the vendor-facing experience have been produced. A feasibility and alternatives analysis has been completed. Vendor sentiment has been validated through a sample-based survey yielding 96% unweighted approval, and major enterprise vendors including Blue Buffalo, Mars, and Nestlé Purina have explicitly requested portal-based access. What remains is translating these business-ready artifacts into engineering implementation plans—a process that requires a named CPH technical counterpart and active engagement from the CPH engineering team.</w:t>
      </w:r>
    </w:p>
    <w:p w14:paraId="47B26535" w14:textId="77777777" w:rsidR="00C37A9B" w:rsidRDefault="00000000">
      <w:pPr>
        <w:pStyle w:val="BodyText"/>
      </w:pPr>
      <w:r>
        <w:rPr>
          <w:b/>
          <w:bCs/>
        </w:rPr>
        <w:t>Q: What are the primary risks to delivery, and what happens if we don’t proceed?</w:t>
      </w:r>
    </w:p>
    <w:p w14:paraId="21E170A2" w14:textId="77777777" w:rsidR="00C37A9B" w:rsidRDefault="00000000">
      <w:pPr>
        <w:pStyle w:val="BodyText"/>
      </w:pPr>
      <w:r>
        <w:t>The primary delivery risks are: (1) CPH engineering capacity remains unassigned, leaving the portal integration without a development team—this is the single largest risk and is a resource decision, not a technical obstacle; (2) the VC workstream unstalls and legitimately consumes CPH capacity first, pushing CPFR module work further out despite the platform being ready; and (3) continued organizational churn erodes the institutional knowledge and cross-team relationships needed to execute, a pattern that has already removed five key contributors from this initiative.</w:t>
      </w:r>
    </w:p>
    <w:p w14:paraId="60AAAA2D" w14:textId="77777777" w:rsidR="00C37A9B" w:rsidRDefault="00000000">
      <w:pPr>
        <w:pStyle w:val="BodyText"/>
      </w:pPr>
      <w:r>
        <w:t>If we don’t proceed, a completed, governed data platform built for vendor-facing consumption sits idle. The email-based distribution process continues to scale manually with a vendor base approaching 4,150, with maintenance demands growing disproportionately. Chewy retains sole responsibility for managing vendor distribution lists, including the exposure to misdirected proprietary data—a risk that has already materialized in isolated incidents and that grows with every vendor added to the system. And the investment in business requirements, user stories, wireframes, and feasibility analysis—work completed specifically to de-risk and accelerate the portal build—depreciates as organizational context continues to erode around it.</w:t>
      </w:r>
    </w:p>
    <w:p w14:paraId="17B3790C" w14:textId="77777777" w:rsidR="00C37A9B" w:rsidRDefault="00000000">
      <w:pPr>
        <w:pStyle w:val="Heading2"/>
      </w:pPr>
      <w:bookmarkStart w:id="4" w:name="external-faq"/>
      <w:bookmarkEnd w:id="3"/>
      <w:r>
        <w:t>EXTERNAL FAQ</w:t>
      </w:r>
    </w:p>
    <w:p w14:paraId="5B378ED5" w14:textId="77777777" w:rsidR="00C37A9B" w:rsidRDefault="00000000">
      <w:pPr>
        <w:pStyle w:val="FirstParagraph"/>
      </w:pPr>
      <w:r>
        <w:rPr>
          <w:b/>
          <w:bCs/>
        </w:rPr>
        <w:t>Q: Will I still receive my weekly CPFR report by email?</w:t>
      </w:r>
    </w:p>
    <w:p w14:paraId="7D6F7A89" w14:textId="77777777" w:rsidR="00C37A9B" w:rsidRDefault="00000000">
      <w:pPr>
        <w:pStyle w:val="BodyText"/>
      </w:pPr>
      <w:r>
        <w:t>Yes. Your weekly emailed CPFR report continues unchanged. Chewy Partner Hub provides an additional access channel—it does not replace your existing email delivery. You will receive the same report on the same schedule, with the portal available whenever you need to access data between reports or retrieve historical copies.</w:t>
      </w:r>
    </w:p>
    <w:p w14:paraId="38BCCEF5" w14:textId="77777777" w:rsidR="00C37A9B" w:rsidRDefault="00000000">
      <w:pPr>
        <w:pStyle w:val="BodyText"/>
      </w:pPr>
      <w:r>
        <w:rPr>
          <w:b/>
          <w:bCs/>
        </w:rPr>
        <w:t>Q: How do I manage who on my team has access to our data in Chewy Partner Hub?</w:t>
      </w:r>
    </w:p>
    <w:p w14:paraId="3E5C6A24" w14:textId="77777777" w:rsidR="00C37A9B" w:rsidRDefault="00000000">
      <w:pPr>
        <w:pStyle w:val="BodyText"/>
      </w:pPr>
      <w:r>
        <w:t>Chewy Partner Hub includes a self-service administration panel where you can add, remove, or update recipients within your organization at any time. Changes take effect immediately—no need to submit a request through your Chewy Instock Manager or CPFR team and wait for it to be processed. You control who on your team receives reports and who has portal access, and you can update those settings as your team changes.</w:t>
      </w:r>
    </w:p>
    <w:p w14:paraId="7A60B872" w14:textId="77777777" w:rsidR="00C37A9B" w:rsidRDefault="00000000">
      <w:pPr>
        <w:pStyle w:val="BodyText"/>
      </w:pPr>
      <w:r>
        <w:rPr>
          <w:b/>
          <w:bCs/>
        </w:rPr>
        <w:t>Q: Is the data in the portal the same data I get in my weekly report, or is it different?</w:t>
      </w:r>
    </w:p>
    <w:p w14:paraId="6B90F7A8" w14:textId="77777777" w:rsidR="00C37A9B" w:rsidRDefault="00000000">
      <w:pPr>
        <w:pStyle w:val="BodyText"/>
      </w:pPr>
      <w:r>
        <w:lastRenderedPageBreak/>
        <w:t>The portal serves the same CPFR data that powers your weekly emailed report—forecast, inventory, and replenishment metrics specific to your organization. The difference is freshness and availability: portal data is refreshed daily rather than weekly, and you can access it any time rather than waiting for Monday’s distribution. When your weekly report arrives, it will reflect the same underlying data source as the portal.</w:t>
      </w:r>
    </w:p>
    <w:p w14:paraId="3379C6D1" w14:textId="77777777" w:rsidR="00C37A9B" w:rsidRDefault="00000000">
      <w:pPr>
        <w:pStyle w:val="BodyText"/>
      </w:pPr>
      <w:r>
        <w:rPr>
          <w:b/>
          <w:bCs/>
        </w:rPr>
        <w:t>Q: How current is the data in the portal?</w:t>
      </w:r>
    </w:p>
    <w:p w14:paraId="61CD1139" w14:textId="77777777" w:rsidR="00C37A9B" w:rsidRDefault="00000000">
      <w:pPr>
        <w:pStyle w:val="BodyText"/>
      </w:pPr>
      <w:r>
        <w:t>Data in Chewy Partner Hub reflects the freshest available information—up to and including near-real-time updates depending on your data tier. When you log in, you are seeing the same data your Chewy Instock Manager would see at that moment. This is a significant change from the weekly emailed report, which reflects a single point-in-time snapshot each Monday.</w:t>
      </w:r>
    </w:p>
    <w:p w14:paraId="131A949F" w14:textId="77777777" w:rsidR="00C37A9B" w:rsidRDefault="00000000">
      <w:pPr>
        <w:pStyle w:val="BodyText"/>
      </w:pPr>
      <w:r>
        <w:rPr>
          <w:b/>
          <w:bCs/>
        </w:rPr>
        <w:t>Q: When will my company have access, and what do I need to do to get started?</w:t>
      </w:r>
    </w:p>
    <w:p w14:paraId="7DC4543A" w14:textId="77777777" w:rsidR="00C37A9B" w:rsidRDefault="00000000">
      <w:pPr>
        <w:pStyle w:val="BodyText"/>
      </w:pPr>
      <w:r>
        <w:t>Access will be rolled out in phases, organized by vendor tier, following the module’s launch in Chewy Partner Hub. Your Chewy Instock Manager or CPFR team will notify you when your organization is eligible and provide onboarding instructions. There is no cost to participate, and vendors already enrolled in CPFR will not need to re-register—your existing enrollment carries over.</w:t>
      </w:r>
    </w:p>
    <w:p w14:paraId="6FE0254F" w14:textId="77777777" w:rsidR="00C37A9B" w:rsidRDefault="00000000">
      <w:pPr>
        <w:pStyle w:val="BodyText"/>
      </w:pPr>
      <w:r>
        <w:rPr>
          <w:b/>
          <w:bCs/>
        </w:rPr>
        <w:t>Q: Will Chewy Partner Hub include other types of supply chain data in the future?</w:t>
      </w:r>
    </w:p>
    <w:p w14:paraId="05044BA7" w14:textId="77777777" w:rsidR="00C37A9B" w:rsidRDefault="00000000">
      <w:pPr>
        <w:pStyle w:val="BodyText"/>
      </w:pPr>
      <w:r>
        <w:t>Chewy Partner Hub is designed as a platform for supply chain collaboration between Chewy and its vendor partners. The CPFR module is far from the last capability planned for this foundation, and additional supply chain capabilities are in development. We look forward to sharing more details as those become available.</w:t>
      </w:r>
    </w:p>
    <w:p w14:paraId="21631AA7" w14:textId="77777777" w:rsidR="00C37A9B" w:rsidRDefault="00000000">
      <w:pPr>
        <w:pStyle w:val="Heading2"/>
      </w:pPr>
      <w:bookmarkStart w:id="5" w:name="top-assumptions-requiring-validation"/>
      <w:bookmarkEnd w:id="4"/>
      <w:r>
        <w:t>TOP ASSUMPTIONS REQUIRING VALIDATION</w:t>
      </w:r>
    </w:p>
    <w:p w14:paraId="72022F23" w14:textId="77777777" w:rsidR="00C37A9B" w:rsidRPr="00AD2396" w:rsidRDefault="00000000" w:rsidP="00AD2396">
      <w:pPr>
        <w:pStyle w:val="ListNumber"/>
      </w:pPr>
      <w:r w:rsidRPr="00D15DA2">
        <w:rPr>
          <w:b/>
          <w:bCs/>
        </w:rPr>
        <w:t>Revenue-weighted vendor adoption will reach majority within 12 months of launch.</w:t>
      </w:r>
      <w:r w:rsidRPr="00AD2396">
        <w:t xml:space="preserve"> Supported by 96% unweighted approval rating (sample-based) and explicit enterprise vendor requests for portal access. However, approval of concept and actual adoption are different behaviors, and adoption rates across the long tail of smaller vendors are untested.</w:t>
      </w:r>
    </w:p>
    <w:p w14:paraId="58D753F0" w14:textId="77777777" w:rsidR="00C37A9B" w:rsidRPr="00AD2396" w:rsidRDefault="00000000" w:rsidP="00AD2396">
      <w:pPr>
        <w:pStyle w:val="ListNumber"/>
      </w:pPr>
      <w:r w:rsidRPr="00D15DA2">
        <w:rPr>
          <w:b/>
          <w:bCs/>
        </w:rPr>
        <w:t>CPH engineering capacity can be secured through allocation.</w:t>
      </w:r>
      <w:r w:rsidRPr="00AD2396">
        <w:t xml:space="preserve"> This is the single largest delivery risk. The portal integration requires development capacity from the CPH engineering team, which is currently unassigned to this initiative. Whether allocation alone can sustain the necessary engineering engagement through delivery is unproven.</w:t>
      </w:r>
    </w:p>
    <w:p w14:paraId="57BC128D" w14:textId="77777777" w:rsidR="00C37A9B" w:rsidRPr="00AD2396" w:rsidRDefault="00000000" w:rsidP="00AD2396">
      <w:pPr>
        <w:pStyle w:val="ListNumber"/>
      </w:pPr>
      <w:r w:rsidRPr="00D15DA2">
        <w:rPr>
          <w:b/>
          <w:bCs/>
        </w:rPr>
        <w:t>The VDS/CPFR scope distinction is clear enough to prevent merchandising pushback.</w:t>
      </w:r>
      <w:r w:rsidRPr="00AD2396">
        <w:t xml:space="preserve"> The internal FAQ answer articulates the differentiation clearly, but it has not been tested with the actual merchandising stakeholders who perceive a revenue threat. If this distinction does not hold under scrutiny, it could become a political blocker.</w:t>
      </w:r>
    </w:p>
    <w:p w14:paraId="6520886E" w14:textId="77777777" w:rsidR="00C37A9B" w:rsidRPr="00AD2396" w:rsidRDefault="00000000" w:rsidP="00AD2396">
      <w:pPr>
        <w:pStyle w:val="ListNumber"/>
      </w:pPr>
      <w:r w:rsidRPr="00D15DA2">
        <w:rPr>
          <w:b/>
          <w:bCs/>
        </w:rPr>
        <w:t>No PM or TPM is currently assigned to the CPFR-in-CPH initiative</w:t>
      </w:r>
      <w:r w:rsidRPr="00AD2396">
        <w:t>. The cross-team coordination required for delivery—translation between business requirements and engineering execution, dependency tracking, and stakeholder alignment—is currently being carried through allocation without formal role assignment. Whether this is sustainable through delivery is an open question.</w:t>
      </w:r>
    </w:p>
    <w:p w14:paraId="123410F5" w14:textId="77777777" w:rsidR="00D15DA2" w:rsidRDefault="00D15DA2">
      <w:pPr>
        <w:pStyle w:val="FirstParagraph"/>
        <w:rPr>
          <w:i/>
          <w:iCs/>
        </w:rPr>
      </w:pPr>
    </w:p>
    <w:p w14:paraId="37EA7384" w14:textId="79C83F5F" w:rsidR="00C37A9B" w:rsidRDefault="00000000">
      <w:pPr>
        <w:pStyle w:val="FirstParagraph"/>
      </w:pPr>
      <w:r>
        <w:rPr>
          <w:i/>
          <w:iCs/>
        </w:rPr>
        <w:t>This document is structured to serve as a standalone CPFR narrative and as a foundational backbone for integration with a Vendor Compliance PRFAQ when that workstream’s details are finalized.</w:t>
      </w:r>
      <w:bookmarkEnd w:id="0"/>
      <w:bookmarkEnd w:id="5"/>
    </w:p>
    <w:sectPr w:rsidR="00C37A9B" w:rsidSect="00AD2396">
      <w:footnotePr>
        <w:numRestart w:val="eachSect"/>
      </w:footnotePr>
      <w:pgSz w:w="12240" w:h="15840"/>
      <w:pgMar w:top="720" w:right="720" w:bottom="720" w:left="720" w:header="432"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3987" w14:textId="77777777" w:rsidR="00555368" w:rsidRDefault="00555368" w:rsidP="00AD2396">
      <w:pPr>
        <w:spacing w:after="0"/>
      </w:pPr>
      <w:r>
        <w:separator/>
      </w:r>
    </w:p>
  </w:endnote>
  <w:endnote w:type="continuationSeparator" w:id="0">
    <w:p w14:paraId="07287EC0" w14:textId="77777777" w:rsidR="00555368" w:rsidRDefault="00555368" w:rsidP="00AD23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DE43" w14:textId="77777777" w:rsidR="00555368" w:rsidRDefault="00555368" w:rsidP="00AD2396">
      <w:pPr>
        <w:spacing w:after="0"/>
      </w:pPr>
      <w:r>
        <w:separator/>
      </w:r>
    </w:p>
  </w:footnote>
  <w:footnote w:type="continuationSeparator" w:id="0">
    <w:p w14:paraId="55DF93E0" w14:textId="77777777" w:rsidR="00555368" w:rsidRDefault="00555368" w:rsidP="00AD23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D487E00"/>
    <w:lvl w:ilvl="0">
      <w:start w:val="1"/>
      <w:numFmt w:val="decimal"/>
      <w:pStyle w:val="ListNumber"/>
      <w:lvlText w:val="%1."/>
      <w:lvlJc w:val="left"/>
      <w:pPr>
        <w:tabs>
          <w:tab w:val="num" w:pos="360"/>
        </w:tabs>
        <w:ind w:left="360" w:hanging="360"/>
      </w:pPr>
    </w:lvl>
  </w:abstractNum>
  <w:abstractNum w:abstractNumId="1" w15:restartNumberingAfterBreak="0">
    <w:nsid w:val="0000A990"/>
    <w:multiLevelType w:val="multilevel"/>
    <w:tmpl w:val="4120C8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A99411"/>
    <w:multiLevelType w:val="multilevel"/>
    <w:tmpl w:val="84264B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6177608">
    <w:abstractNumId w:val="1"/>
  </w:num>
  <w:num w:numId="2" w16cid:durableId="155810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9474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9B"/>
    <w:rsid w:val="00555368"/>
    <w:rsid w:val="005F26E8"/>
    <w:rsid w:val="00AD2396"/>
    <w:rsid w:val="00C37A9B"/>
    <w:rsid w:val="00D15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C25D"/>
  <w15:docId w15:val="{CC857DDE-8070-654D-BC25-6C3B521E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D2396"/>
    <w:pPr>
      <w:keepNext/>
      <w:keepLines/>
      <w:spacing w:after="240" w:line="264" w:lineRule="auto"/>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uiPriority w:val="9"/>
    <w:unhideWhenUsed/>
    <w:qFormat/>
    <w:rsid w:val="00AD2396"/>
    <w:pPr>
      <w:keepNext/>
      <w:keepLines/>
      <w:pBdr>
        <w:top w:val="single" w:sz="12" w:space="9" w:color="auto"/>
      </w:pBdr>
      <w:spacing w:before="360" w:after="180" w:line="264" w:lineRule="auto"/>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AD2396"/>
    <w:pPr>
      <w:keepNext/>
      <w:keepLines/>
      <w:spacing w:before="180" w:after="180" w:line="264" w:lineRule="auto"/>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AD2396"/>
    <w:pPr>
      <w:spacing w:before="180" w:after="180" w:line="264" w:lineRule="auto"/>
    </w:pPr>
    <w:rPr>
      <w:sz w:val="20"/>
    </w:rPr>
  </w:style>
  <w:style w:type="paragraph" w:customStyle="1" w:styleId="FirstParagraph">
    <w:name w:val="First Paragraph"/>
    <w:basedOn w:val="BodyText"/>
    <w:next w:val="BodyText"/>
    <w:qFormat/>
    <w:rsid w:val="00AD2396"/>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D2396"/>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AD2396"/>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semiHidden/>
    <w:rsid w:val="00AD2396"/>
    <w:rPr>
      <w:rFonts w:eastAsiaTheme="majorEastAsia" w:cstheme="majorBidi"/>
      <w:b/>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rsid w:val="00AD2396"/>
    <w:pPr>
      <w:spacing w:before="240"/>
      <w:outlineLvl w:val="9"/>
    </w:pPr>
    <w:rPr>
      <w:sz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D2396"/>
    <w:pPr>
      <w:tabs>
        <w:tab w:val="center" w:pos="4680"/>
        <w:tab w:val="right" w:pos="9360"/>
      </w:tabs>
      <w:spacing w:after="0"/>
    </w:pPr>
  </w:style>
  <w:style w:type="character" w:customStyle="1" w:styleId="HeaderChar">
    <w:name w:val="Header Char"/>
    <w:basedOn w:val="DefaultParagraphFont"/>
    <w:link w:val="Header"/>
    <w:rsid w:val="00AD2396"/>
  </w:style>
  <w:style w:type="paragraph" w:styleId="Footer">
    <w:name w:val="footer"/>
    <w:basedOn w:val="Normal"/>
    <w:link w:val="FooterChar"/>
    <w:rsid w:val="00AD2396"/>
    <w:pPr>
      <w:tabs>
        <w:tab w:val="center" w:pos="4680"/>
        <w:tab w:val="right" w:pos="9360"/>
      </w:tabs>
      <w:spacing w:after="0"/>
    </w:pPr>
  </w:style>
  <w:style w:type="character" w:customStyle="1" w:styleId="FooterChar">
    <w:name w:val="Footer Char"/>
    <w:basedOn w:val="DefaultParagraphFont"/>
    <w:link w:val="Footer"/>
    <w:rsid w:val="00AD2396"/>
  </w:style>
  <w:style w:type="paragraph" w:styleId="ListNumber">
    <w:name w:val="List Number"/>
    <w:basedOn w:val="Normal"/>
    <w:rsid w:val="00D15DA2"/>
    <w:pPr>
      <w:numPr>
        <w:numId w:val="3"/>
      </w:numPr>
      <w:spacing w:before="200" w:line="264"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2518</Words>
  <Characters>14355</Characters>
  <Application>Microsoft Office Word</Application>
  <DocSecurity>0</DocSecurity>
  <Lines>227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Miles</dc:creator>
  <cp:keywords/>
  <cp:lastModifiedBy>Nathan Miles</cp:lastModifiedBy>
  <cp:revision>2</cp:revision>
  <dcterms:created xsi:type="dcterms:W3CDTF">2026-03-09T04:29:00Z</dcterms:created>
  <dcterms:modified xsi:type="dcterms:W3CDTF">2026-03-09T04:29:00Z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