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7EB7" w14:textId="77777777" w:rsidR="00937F86" w:rsidRPr="007732B8" w:rsidRDefault="00000000" w:rsidP="007732B8">
      <w:pPr>
        <w:pStyle w:val="Heading1"/>
      </w:pPr>
      <w:r w:rsidRPr="007732B8">
        <w:t>PRFAQ: CPFR Data Platform &amp; Chewy Partner Hub Integration</w:t>
      </w:r>
    </w:p>
    <w:p w14:paraId="6AA3565A" w14:textId="444E6D34" w:rsidR="00937F86" w:rsidRPr="007732B8" w:rsidRDefault="00000000" w:rsidP="006F4BEF">
      <w:pPr>
        <w:pStyle w:val="Heading3"/>
      </w:pPr>
      <w:r w:rsidRPr="007732B8">
        <w:t>Status: Working Draft  |  Last Updated: 2026-03-10  |  Author: Nathan Miles</w:t>
      </w:r>
    </w:p>
    <w:p w14:paraId="1734A745" w14:textId="77777777" w:rsidR="00937F86" w:rsidRPr="007732B8" w:rsidRDefault="00000000" w:rsidP="007732B8">
      <w:pPr>
        <w:pStyle w:val="Heading2"/>
      </w:pPr>
      <w:r w:rsidRPr="007732B8">
        <w:t>PRESS RELEASE</w:t>
      </w:r>
    </w:p>
    <w:p w14:paraId="5A01BD1C" w14:textId="77777777" w:rsidR="00937F86" w:rsidRPr="007732B8" w:rsidRDefault="00000000" w:rsidP="007732B8">
      <w:pPr>
        <w:pStyle w:val="BodyText"/>
      </w:pPr>
      <w:r w:rsidRPr="007732B8">
        <w:t>Chewy Modernizes Vendor Supply Chain Collaboration with CPFR Integration in Chewy Partner Hub</w:t>
      </w:r>
    </w:p>
    <w:p w14:paraId="0FC0BA1C" w14:textId="77777777" w:rsidR="00937F86" w:rsidRPr="007732B8" w:rsidRDefault="00000000" w:rsidP="007732B8">
      <w:pPr>
        <w:pStyle w:val="BodyText"/>
      </w:pPr>
      <w:r w:rsidRPr="007732B8">
        <w:rPr>
          <w:color w:val="404040"/>
        </w:rPr>
        <w:t>The data foundation for 3,200+ vendor relationships moves from weekly email to daily self-service—closing a competitive gap with major retailers and eliminating manual scaling bottlenecks.</w:t>
      </w:r>
    </w:p>
    <w:p w14:paraId="6FB07CF7" w14:textId="77777777" w:rsidR="00937F86" w:rsidRPr="007732B8" w:rsidRDefault="00000000" w:rsidP="007732B8">
      <w:pPr>
        <w:pStyle w:val="BodyText"/>
      </w:pPr>
      <w:r w:rsidRPr="007732B8">
        <w:rPr>
          <w:b/>
          <w:bCs/>
        </w:rPr>
        <w:t>Plantation, FL — June 2026</w:t>
      </w:r>
      <w:r w:rsidRPr="007732B8">
        <w:t xml:space="preserve"> — Chewy, Inc. (NYSE: CHWY) today announced the integration of its Collaborative Planning, Forecasting &amp; Replenishment (CPFR) program into Chewy Partner Hub (CPH), </w:t>
      </w:r>
      <w:proofErr w:type="spellStart"/>
      <w:r w:rsidRPr="007732B8">
        <w:t>Chewy’s</w:t>
      </w:r>
      <w:proofErr w:type="spellEnd"/>
      <w:r w:rsidRPr="007732B8">
        <w:t xml:space="preserve"> digital platform for supply chain partners.</w:t>
      </w:r>
    </w:p>
    <w:p w14:paraId="60B703CB" w14:textId="77777777" w:rsidR="00937F86" w:rsidRPr="007732B8" w:rsidRDefault="00000000" w:rsidP="007732B8">
      <w:pPr>
        <w:pStyle w:val="BodyText"/>
      </w:pPr>
      <w:r w:rsidRPr="007732B8">
        <w:t xml:space="preserve">CPFR is the shared data foundation for </w:t>
      </w:r>
      <w:proofErr w:type="spellStart"/>
      <w:r w:rsidRPr="007732B8">
        <w:t>Chewy’s</w:t>
      </w:r>
      <w:proofErr w:type="spellEnd"/>
      <w:r w:rsidRPr="007732B8">
        <w:t xml:space="preserve"> vendor collaboration model. It provides the forecast, inventory, and replenishment data that In-Stock Managers and vendors reference for order planning, performance monitoring, and joint business alignment—spanning the majority of vendor-facing work across </w:t>
      </w:r>
      <w:proofErr w:type="spellStart"/>
      <w:r w:rsidRPr="007732B8">
        <w:t>Chewy’s</w:t>
      </w:r>
      <w:proofErr w:type="spellEnd"/>
      <w:r w:rsidRPr="007732B8">
        <w:t xml:space="preserve"> supply chain organization. The program currently serves more than 3,200 vendors with line-of-sight to 4,150+. The data platform and portal enhancements announced today are projected to unlock approximately $1.4M in recurring annual cost avoidance through ISM capacity reallocation, vendor enablement, data governance efficiency, and reduced operational exposure. Major retail competitors, including Amazon and Walmart, already provide equivalent portal-based data access to their vendor partners.</w:t>
      </w:r>
    </w:p>
    <w:p w14:paraId="68196A85" w14:textId="77777777" w:rsidR="00937F86" w:rsidRPr="007732B8" w:rsidRDefault="00000000" w:rsidP="007732B8">
      <w:pPr>
        <w:pStyle w:val="BodyText"/>
      </w:pPr>
      <w:r w:rsidRPr="007732B8">
        <w:t>Until now, CPFR has distributed this data through weekly emailed reports—a model designed when the program served roughly 1,000 vendors. At more than three times that scale, the manual process created compounding strain: distribution list management required dedicated contractor triage to handle inbound vendor requests before they reached the CPFR team; data freshness was limited to weekly snapshots while vendors and ISMs needed mid-week visibility for responsive decision-making; and Chewy remained the sole handler of vendor-to-recipient mapping, creating exposure to misdirected proprietary data—a risk that had materialized and whose blast radius grew with every vendor added. In parallel, vendors receiving CPFR data through email and premium data through VDS identified discrepancies between the two systems, requiring cross-team triage that consumed 4–6 people across departments for one to two days per incident.</w:t>
      </w:r>
    </w:p>
    <w:p w14:paraId="3218601C" w14:textId="77777777" w:rsidR="00937F86" w:rsidRPr="007732B8" w:rsidRDefault="00000000" w:rsidP="007732B8">
      <w:pPr>
        <w:pStyle w:val="BodyText"/>
      </w:pPr>
      <w:r w:rsidRPr="007732B8">
        <w:t>The CPFR integration in Chewy Partner Hub addresses these constraints through two complementary components. A governed data platform built in Snowflake by SC-BIE establishes a single source of truth with daily refresh, vendor isolation, immutable snapshots, and data lineage, eliminating the class of cross-system discrepancies entirely. The CPFR module in CPH provides vendors with on-demand access to current and historical data through a secure portal, self-service administration of distribution lists, and a scorecard landing page for at-a-glance business performance—removing Chewy as the manual bottleneck and giving vendors the self-service capability they already experience with other major retail partners.</w:t>
      </w:r>
    </w:p>
    <w:p w14:paraId="6C2BEC4F" w14:textId="77777777" w:rsidR="00937F86" w:rsidRPr="007732B8" w:rsidRDefault="00000000" w:rsidP="007732B8">
      <w:pPr>
        <w:pStyle w:val="BodyText"/>
      </w:pPr>
      <w:r w:rsidRPr="007732B8">
        <w:t>“Before this, confirming the impact of a change made for instance on a Wednesday often required a lot of coordination just to reconcile the numbers before end of week,” said Sarah Kowalski, Director of Supply Chain at Church &amp; Dwight. “Now my team can pull what we need on demand, and I decide who has access. That keeps us in planning mode instead of troubleshooting—and helps us fulfill commitments faster to Chewy and our customers.”</w:t>
      </w:r>
    </w:p>
    <w:p w14:paraId="6C15803E" w14:textId="77777777" w:rsidR="00937F86" w:rsidRPr="007732B8" w:rsidRDefault="00000000" w:rsidP="007732B8">
      <w:pPr>
        <w:pStyle w:val="BodyText"/>
      </w:pPr>
      <w:r w:rsidRPr="007732B8">
        <w:t>“Our vendors are our partners,” said Dave Livesay, Sr. Director of Inventory Management at Chewy. “They deserve the kind of access that lets them move faster, with less time chasing updates and more time aligning on the plan. The CPFR module in Chewy Partner Hub gives vendors timely, self-service access to the data they already rely on, and is built on a foundation that scales more seamlessly as our vendor community expands.”</w:t>
      </w:r>
    </w:p>
    <w:p w14:paraId="0FE5B9CC" w14:textId="77777777" w:rsidR="00937F86" w:rsidRPr="007732B8" w:rsidRDefault="00000000" w:rsidP="007732B8">
      <w:pPr>
        <w:pStyle w:val="BodyText"/>
      </w:pPr>
      <w:r w:rsidRPr="007732B8">
        <w:t>The CPFR module is available to all enrolled Chewy Partner Hub vendors at launch, with onboarding phased by tier to ensure a smooth transition. Vendors currently receiving weekly CPFR reports retain uninterrupted access to those reports while gaining portal access as an additional channel. For more information, vendors can contact their Chewy In-Stock Manager or visit Chewy Partner Hub directly.</w:t>
      </w:r>
    </w:p>
    <w:p w14:paraId="7B15708B" w14:textId="77777777" w:rsidR="00937F86" w:rsidRPr="007732B8" w:rsidRDefault="00000000" w:rsidP="007732B8">
      <w:pPr>
        <w:pStyle w:val="Heading2"/>
      </w:pPr>
      <w:r w:rsidRPr="007732B8">
        <w:t>INTERNAL FAQ</w:t>
      </w:r>
    </w:p>
    <w:p w14:paraId="008B6F7F" w14:textId="77777777" w:rsidR="00937F86" w:rsidRPr="007732B8" w:rsidRDefault="00000000" w:rsidP="007732B8">
      <w:pPr>
        <w:pStyle w:val="BodyText"/>
      </w:pPr>
      <w:r w:rsidRPr="007732B8">
        <w:t>Q: What is the measurable value of the CPFR program today, and what is the operational risk of the current delivery model?</w:t>
      </w:r>
    </w:p>
    <w:p w14:paraId="00411D4D" w14:textId="77777777" w:rsidR="00937F86" w:rsidRPr="007732B8" w:rsidRDefault="00000000" w:rsidP="007732B8">
      <w:pPr>
        <w:pStyle w:val="BodyText"/>
      </w:pPr>
      <w:r w:rsidRPr="007732B8">
        <w:lastRenderedPageBreak/>
        <w:t xml:space="preserve">CPFR provides the shared data substrate for vendor collaboration across </w:t>
      </w:r>
      <w:proofErr w:type="spellStart"/>
      <w:r w:rsidRPr="007732B8">
        <w:t>Chewy’s</w:t>
      </w:r>
      <w:proofErr w:type="spellEnd"/>
      <w:r w:rsidRPr="007732B8">
        <w:t xml:space="preserve"> In-Stock organization. ISM vendor-facing work—from order planning to performance monitoring to joint business reviews—depends on CPFR data as a primary input. When CPFR data is disrupted or unavailable, vendor escalations are immediate, routing through the CPFR team and, if unresolved, climbing into merchandising—where they become commercial relationship issues.</w:t>
      </w:r>
    </w:p>
    <w:p w14:paraId="5D0DD55C" w14:textId="77777777" w:rsidR="00937F86" w:rsidRPr="007732B8" w:rsidRDefault="00000000" w:rsidP="007732B8">
      <w:pPr>
        <w:pStyle w:val="BodyText"/>
      </w:pPr>
      <w:r w:rsidRPr="007732B8">
        <w:t>Quantified value and exposure:</w:t>
      </w:r>
    </w:p>
    <w:p w14:paraId="76BF0D36" w14:textId="77777777" w:rsidR="00937F86" w:rsidRPr="007732B8" w:rsidRDefault="00000000" w:rsidP="007732B8">
      <w:pPr>
        <w:pStyle w:val="ListBullet"/>
      </w:pPr>
      <w:r w:rsidRPr="007732B8">
        <w:t>~$1.4M in projected recurring annual cost avoidance from the platform and portal enhancements: ISM capacity reallocation, vendor enablement, data governance efficiency, and reduced operational exposure</w:t>
      </w:r>
    </w:p>
    <w:p w14:paraId="1A6ABC71" w14:textId="77777777" w:rsidR="00937F86" w:rsidRPr="007732B8" w:rsidRDefault="00000000" w:rsidP="007732B8">
      <w:pPr>
        <w:pStyle w:val="ListBullet"/>
      </w:pPr>
      <w:r w:rsidRPr="007732B8">
        <w:t>$5M documented cost avoidance from a single forecast threshold mismatch event; ~$15M estimated annual exposure from recurring threshold issues</w:t>
      </w:r>
    </w:p>
    <w:p w14:paraId="0BCBFD37" w14:textId="77777777" w:rsidR="00937F86" w:rsidRPr="007732B8" w:rsidRDefault="00000000" w:rsidP="007732B8">
      <w:pPr>
        <w:pStyle w:val="ListBullet"/>
      </w:pPr>
      <w:r w:rsidRPr="007732B8">
        <w:t>96% unweighted vendor approval rating (sample-based); explicit portal/API access requests from Blue Buffalo, Mars, and Nestlé Purina</w:t>
      </w:r>
    </w:p>
    <w:p w14:paraId="2BBDE95E" w14:textId="77777777" w:rsidR="00937F86" w:rsidRPr="007732B8" w:rsidRDefault="00000000" w:rsidP="007732B8">
      <w:pPr>
        <w:pStyle w:val="ListBullet"/>
      </w:pPr>
      <w:r w:rsidRPr="007732B8">
        <w:t>Cross-system data discrepancies (CPFR vs. VDS) flagged by Nestlé Purina, Mars, and Blue Buffalo—</w:t>
      </w:r>
      <w:proofErr w:type="spellStart"/>
      <w:r w:rsidRPr="007732B8">
        <w:t>Chewy’s</w:t>
      </w:r>
      <w:proofErr w:type="spellEnd"/>
      <w:r w:rsidRPr="007732B8">
        <w:t xml:space="preserve"> most strategic vendor relationships—requiring 4–6 people across teams for 1–2 days per incident to triage</w:t>
      </w:r>
    </w:p>
    <w:p w14:paraId="2FAE9271" w14:textId="77777777" w:rsidR="00937F86" w:rsidRPr="007732B8" w:rsidRDefault="00000000" w:rsidP="007732B8">
      <w:pPr>
        <w:pStyle w:val="BodyText"/>
      </w:pPr>
      <w:r w:rsidRPr="007732B8">
        <w:t>In January 2026, proprietary inventory and forecast data for Kent Nutrition Group was released to an unrelated vendor due to erroneous distribution list information—contained without further exposure, but illustrating a systemic vulnerability in manual distribution list management that scales with vendor count</w:t>
      </w:r>
    </w:p>
    <w:p w14:paraId="5734C3FA" w14:textId="77777777" w:rsidR="00937F86" w:rsidRPr="007732B8" w:rsidRDefault="00000000" w:rsidP="007732B8">
      <w:pPr>
        <w:pStyle w:val="BodyText"/>
      </w:pPr>
      <w:r w:rsidRPr="007732B8">
        <w:t>The current operating model—manual email distribution, Chewy-managed recipient lists, weekly data cadence, and parallel query architectures across CPFR and VDS—was viable at 1,000 vendors. At 3,200+ and growing, it creates compounding risk across data integrity, operational capacity, and vendor trust.</w:t>
      </w:r>
    </w:p>
    <w:p w14:paraId="1E4F403D" w14:textId="77777777" w:rsidR="00937F86" w:rsidRPr="007732B8" w:rsidRDefault="00000000" w:rsidP="007732B8">
      <w:pPr>
        <w:pStyle w:val="BodyText"/>
      </w:pPr>
      <w:r w:rsidRPr="007732B8">
        <w:t>Q: This initiative was submitted for OP1 funding and didn’t make the cut. Why invest through allocation now?</w:t>
      </w:r>
    </w:p>
    <w:p w14:paraId="616025A5" w14:textId="77777777" w:rsidR="00937F86" w:rsidRPr="007732B8" w:rsidRDefault="00000000" w:rsidP="007732B8">
      <w:pPr>
        <w:pStyle w:val="BodyText"/>
      </w:pPr>
      <w:r w:rsidRPr="007732B8">
        <w:t>The OP1 submission was deprioritized due to competing initiatives and late insertion into the planning cycle—not rejected on the merits of its business case. Since that submission, the most capital-intensive component—the CPFR data platform—has continued to deliver on schedule (March 31, 2026). The remaining work is portal integration in CPH: connecting a completed data platform to the vendor-facing experience.</w:t>
      </w:r>
    </w:p>
    <w:p w14:paraId="409121B4" w14:textId="77777777" w:rsidR="00937F86" w:rsidRPr="007732B8" w:rsidRDefault="00000000" w:rsidP="007732B8">
      <w:pPr>
        <w:pStyle w:val="BodyText"/>
      </w:pPr>
      <w:r w:rsidRPr="007732B8">
        <w:t>The cost-benefit asymmetry is stark. The marginal investment to realize value on a platform already built is bounded to CPH engineering capacity—while the value at risk includes $1.4M in projected recurring annual cost avoidance, $15M in annual exposure from recurring threshold issues, and competitive parity with Amazon and Walmart, who already provide equivalent vendor portal access. Waiting for the next OP1 cycle means a completed, governed data platform sits idle while the manual process continues to scale toward 4,150+ vendors. Progress through allocation now de-risks a future OP2 submission by demonstrating delivery momentum and reducing remaining scope to a well-defined increment.</w:t>
      </w:r>
    </w:p>
    <w:p w14:paraId="1AC6CC69" w14:textId="77777777" w:rsidR="00937F86" w:rsidRPr="007732B8" w:rsidRDefault="00000000" w:rsidP="007732B8">
      <w:pPr>
        <w:pStyle w:val="BodyText"/>
      </w:pPr>
      <w:r w:rsidRPr="007732B8">
        <w:t>Q: How does the CPFR module maintain a unified vendor experience in CPH?</w:t>
      </w:r>
    </w:p>
    <w:p w14:paraId="579C9FB3" w14:textId="77777777" w:rsidR="00937F86" w:rsidRPr="007732B8" w:rsidRDefault="00000000" w:rsidP="007732B8">
      <w:pPr>
        <w:pStyle w:val="BodyText"/>
      </w:pPr>
      <w:r w:rsidRPr="007732B8">
        <w:t>Unified vendor experience is a first-order design constraint for this initiative, not an afterthought. The CPFR module is built within CPH’s existing architecture, using the same navigation patterns, design language, and vendor-authentication framework that underpin all CPH capabilities. Vendor isolation, admin controls, and data governance are enforced at the platform level—not implemented per module. The CPFR and Vendor Compliance workstreams share a consolidated BRD and are coordinated through a unified integration plan specifically to prevent the fragmentation that erodes vendor trust when modules feel disconnected. As additional capabilities come online, they inherit this shared foundation.</w:t>
      </w:r>
    </w:p>
    <w:p w14:paraId="2EA781C7" w14:textId="77777777" w:rsidR="00937F86" w:rsidRPr="007732B8" w:rsidRDefault="00000000" w:rsidP="007732B8">
      <w:pPr>
        <w:pStyle w:val="BodyText"/>
      </w:pPr>
      <w:r w:rsidRPr="007732B8">
        <w:t>Q: What engineering resources are required, and what is the critical path?</w:t>
      </w:r>
    </w:p>
    <w:p w14:paraId="6B2A6A69" w14:textId="77777777" w:rsidR="00937F86" w:rsidRPr="007732B8" w:rsidRDefault="00000000" w:rsidP="007732B8">
      <w:pPr>
        <w:pStyle w:val="BodyText"/>
      </w:pPr>
      <w:r w:rsidRPr="007732B8">
        <w:t>The CPFR data platform is being delivered by SC-BIE on track for March 31, 2026 at network grain, covering 98.4% of active vendors (Tiers 2 &amp; 3). The remaining work is CPH portal integration: vendor entitlement and isolation wiring, report retrieval UX, vendor-managed distribution administration, daily refresh surfacing, and phased rollout. This scope is defined through a consolidated BRD, detailed user stories, wireframes, and a completed feasibility analysis.</w:t>
      </w:r>
    </w:p>
    <w:p w14:paraId="5541240C" w14:textId="77777777" w:rsidR="00937F86" w:rsidRPr="007732B8" w:rsidRDefault="00000000" w:rsidP="007732B8">
      <w:pPr>
        <w:pStyle w:val="BodyText"/>
      </w:pPr>
      <w:r w:rsidRPr="007732B8">
        <w:t>The critical path is CPH development capacity and a named technical counterpart. The platform is not the gating factor; the gating factor is portal build capacity and integration sequencing within CPH. Five successive departures have left the cross-team coordination role unfilled—that gap is currently being carried through allocation, with the initiative’s program manager stepping into the TPM function to maintain forward progress.</w:t>
      </w:r>
    </w:p>
    <w:p w14:paraId="3F10BB66" w14:textId="77777777" w:rsidR="00937F86" w:rsidRPr="007732B8" w:rsidRDefault="00000000" w:rsidP="007732B8">
      <w:pPr>
        <w:pStyle w:val="BodyText"/>
      </w:pPr>
      <w:r w:rsidRPr="007732B8">
        <w:t>Q: How is the CPFR module in CPH different from what vendors receive through VDS?</w:t>
      </w:r>
    </w:p>
    <w:p w14:paraId="7FF20620" w14:textId="77777777" w:rsidR="00937F86" w:rsidRPr="007732B8" w:rsidRDefault="00000000" w:rsidP="007732B8">
      <w:pPr>
        <w:pStyle w:val="BodyText"/>
      </w:pPr>
      <w:r w:rsidRPr="007732B8">
        <w:lastRenderedPageBreak/>
        <w:t>VDS is a premium analytics service providing broad supply chain intelligence to 65 strategic vendors ($400K entry + 3% of COGS, plus $250K for API access). CPFR provides a narrower dataset—forecast, inventory, and replenishment data—at no cost to all 3,200+ enrolled vendors. The two serve fundamentally different needs and populations. The CPFR module in CPH does not replicate VDS; it provides self-service access to the tactical planning data that the vast majority of vendors depend on daily. Critically, both systems will draw from the same governed semantic data layer, eliminating the cross-system discrepancies that have required multi-day triage when strategic vendors cross-referenced the two.</w:t>
      </w:r>
    </w:p>
    <w:p w14:paraId="02E2042C" w14:textId="77777777" w:rsidR="00937F86" w:rsidRPr="007732B8" w:rsidRDefault="00000000" w:rsidP="007732B8">
      <w:pPr>
        <w:pStyle w:val="BodyText"/>
      </w:pPr>
      <w:r w:rsidRPr="007732B8">
        <w:t>Q: What is the data exposure risk in the current model, and how does the portal address it?</w:t>
      </w:r>
    </w:p>
    <w:p w14:paraId="33C6B9EB" w14:textId="77777777" w:rsidR="00937F86" w:rsidRPr="007732B8" w:rsidRDefault="00000000" w:rsidP="007732B8">
      <w:pPr>
        <w:pStyle w:val="BodyText"/>
      </w:pPr>
      <w:r w:rsidRPr="007732B8">
        <w:t>Today, Chewy is the sole handler of vendor distribution lists for CPFR. Every add, delete, or revision to which recipients receive which vendor’s proprietary data is a manual process handled by the CPFR team. At 3,200+ vendors, this creates persistent exposure to misdirected data. In January 2026, inventory and forecast data for Kent Nutrition Group was released to an unrelated vendor due to erroneous upload information provided through the intake process. The incident was contained without further exposure, but the mechanism that allowed it—manual vendor-to-recipient mapping with no vendor-side verification—remains in place for every vendor in the program. The portal addresses this structurally: vendor-managed self-service distribution administration means vendors control their own recipient lists directly, with changes auditable and immediate. Chewy is no longer in the chain of custody for routine distribution management, eliminating the manual error vector.</w:t>
      </w:r>
    </w:p>
    <w:p w14:paraId="69D72D1C" w14:textId="77777777" w:rsidR="00937F86" w:rsidRPr="007732B8" w:rsidRDefault="00000000" w:rsidP="007732B8">
      <w:pPr>
        <w:pStyle w:val="BodyText"/>
      </w:pPr>
      <w:r w:rsidRPr="007732B8">
        <w:t>Q: What does success look like in 30/60/90 days and 12 months?</w:t>
      </w:r>
    </w:p>
    <w:p w14:paraId="7EEA799D" w14:textId="77777777" w:rsidR="00937F86" w:rsidRPr="007732B8" w:rsidRDefault="00000000" w:rsidP="007732B8">
      <w:pPr>
        <w:pStyle w:val="BodyText"/>
      </w:pPr>
      <w:r w:rsidRPr="007732B8">
        <w:t>Success is measured through adoption and deflection metrics tied to current operational pain:</w:t>
      </w:r>
    </w:p>
    <w:p w14:paraId="04487233" w14:textId="77777777" w:rsidR="00937F86" w:rsidRPr="007732B8" w:rsidRDefault="00000000" w:rsidP="007732B8">
      <w:pPr>
        <w:pStyle w:val="ListBullet"/>
      </w:pPr>
      <w:r w:rsidRPr="007732B8">
        <w:t>30 days: Vendor activation rates by tier; report retrieval events per vendor org; percentage of vendor orgs using self-service distribution management; reduction in manual re-pull requests among onboarded vendors.</w:t>
      </w:r>
    </w:p>
    <w:p w14:paraId="6A51D33C" w14:textId="77777777" w:rsidR="00937F86" w:rsidRPr="007732B8" w:rsidRDefault="00000000" w:rsidP="007732B8">
      <w:pPr>
        <w:pStyle w:val="ListBullet"/>
      </w:pPr>
      <w:r w:rsidRPr="007732B8">
        <w:t>60–90 days: Sustained weekly active usage among revenue-weighted vendor cohort; measurable reduction in mid-week support contacts for onboarded vs. baseline vendors; reduction in Chewy-managed distribution list changes.</w:t>
      </w:r>
    </w:p>
    <w:p w14:paraId="6021944A" w14:textId="77777777" w:rsidR="00937F86" w:rsidRPr="007732B8" w:rsidRDefault="00000000" w:rsidP="007732B8">
      <w:pPr>
        <w:pStyle w:val="ListBullet"/>
      </w:pPr>
      <w:r w:rsidRPr="007732B8">
        <w:t>12 months: Majority of CPFR-covered revenue represented by active portal usage; verified ISM capacity reclaimed via deflected request volume. Instrumentation via standard CPH telemetry plus tagging of CPFR support contacts for onboarded vs. not-yet-onboarded cohort comparison.</w:t>
      </w:r>
    </w:p>
    <w:p w14:paraId="0342BF84" w14:textId="77777777" w:rsidR="00937F86" w:rsidRPr="007732B8" w:rsidRDefault="00000000" w:rsidP="007732B8">
      <w:pPr>
        <w:pStyle w:val="BodyText"/>
      </w:pPr>
      <w:r w:rsidRPr="007732B8">
        <w:t>Q: What are the primary risks, and what happens if we don’t proceed?</w:t>
      </w:r>
    </w:p>
    <w:p w14:paraId="32B9DC42" w14:textId="77777777" w:rsidR="00937F86" w:rsidRPr="007732B8" w:rsidRDefault="00000000" w:rsidP="007732B8">
      <w:pPr>
        <w:pStyle w:val="BodyText"/>
      </w:pPr>
      <w:r w:rsidRPr="007732B8">
        <w:t>Primary delivery risks:</w:t>
      </w:r>
    </w:p>
    <w:p w14:paraId="1F439763" w14:textId="77777777" w:rsidR="00937F86" w:rsidRPr="007732B8" w:rsidRDefault="00000000" w:rsidP="007732B8">
      <w:pPr>
        <w:pStyle w:val="ListBullet"/>
      </w:pPr>
      <w:r w:rsidRPr="007732B8">
        <w:t>CPH engineering capacity remains unassigned—this is the single largest risk and is a resource decision, not a technical obstacle.</w:t>
      </w:r>
    </w:p>
    <w:p w14:paraId="7F137F69" w14:textId="0434CF33" w:rsidR="00937F86" w:rsidRPr="007732B8" w:rsidRDefault="00000000" w:rsidP="007732B8">
      <w:pPr>
        <w:pStyle w:val="ListBullet"/>
      </w:pPr>
      <w:r w:rsidRPr="007732B8">
        <w:t>The VC workstream un</w:t>
      </w:r>
      <w:r w:rsidR="007732B8">
        <w:t>-</w:t>
      </w:r>
      <w:r w:rsidRPr="007732B8">
        <w:t>stalls and consumes CPH capacity first, pushing CPFR module work further out despite the data platform being ready.</w:t>
      </w:r>
    </w:p>
    <w:p w14:paraId="2A0BE62B" w14:textId="77777777" w:rsidR="00937F86" w:rsidRPr="007732B8" w:rsidRDefault="00000000" w:rsidP="007732B8">
      <w:pPr>
        <w:pStyle w:val="ListBullet"/>
      </w:pPr>
      <w:r w:rsidRPr="007732B8">
        <w:t>Continued organizational churn erodes the institutional knowledge and cross-team relationships needed to execute—a pattern that has already removed five key contributors.</w:t>
      </w:r>
    </w:p>
    <w:p w14:paraId="2589BF3D" w14:textId="77777777" w:rsidR="00937F86" w:rsidRPr="007732B8" w:rsidRDefault="00000000" w:rsidP="007732B8">
      <w:pPr>
        <w:pStyle w:val="BodyText"/>
      </w:pPr>
      <w:r w:rsidRPr="007732B8">
        <w:t>If we don’t proceed: a completed, governed data platform sits unconsumed. The email-based distribution process continues to scale manually toward 4,150+ vendors. Data exposure risk remains unmitigated. The competitive gap with Amazon and Walmart persists. And the investment in business requirements, user stories, wireframes, and feasibility analysis—work done specifically to de-risk the portal build—depreciates as organizational context erodes.</w:t>
      </w:r>
    </w:p>
    <w:p w14:paraId="307A42CE" w14:textId="77777777" w:rsidR="00937F86" w:rsidRPr="007732B8" w:rsidRDefault="00000000" w:rsidP="007732B8">
      <w:pPr>
        <w:pStyle w:val="Heading2"/>
      </w:pPr>
      <w:r w:rsidRPr="007732B8">
        <w:t>EXTERNAL FAQ</w:t>
      </w:r>
    </w:p>
    <w:p w14:paraId="5D61A2CA" w14:textId="77777777" w:rsidR="00937F86" w:rsidRPr="007732B8" w:rsidRDefault="00000000" w:rsidP="007732B8">
      <w:pPr>
        <w:pStyle w:val="BodyText"/>
      </w:pPr>
      <w:r w:rsidRPr="007732B8">
        <w:t>Q: Will I still receive my weekly CPFR report by email?</w:t>
      </w:r>
    </w:p>
    <w:p w14:paraId="05AF03F1" w14:textId="77777777" w:rsidR="00937F86" w:rsidRPr="007732B8" w:rsidRDefault="00000000" w:rsidP="007732B8">
      <w:pPr>
        <w:pStyle w:val="BodyText"/>
      </w:pPr>
      <w:r w:rsidRPr="007732B8">
        <w:t>Yes. Your weekly emailed CPFR report continues unchanged. Chewy Partner Hub provides an additional access channel—it does not replace your existing email delivery. The portal is available whenever you need to access data between reports or retrieve historical copies.</w:t>
      </w:r>
    </w:p>
    <w:p w14:paraId="2636DEE3" w14:textId="77777777" w:rsidR="00937F86" w:rsidRPr="007732B8" w:rsidRDefault="00000000" w:rsidP="007732B8">
      <w:pPr>
        <w:pStyle w:val="BodyText"/>
      </w:pPr>
      <w:r w:rsidRPr="007732B8">
        <w:t>Q: Is the data in the portal the same data my ISM sees?</w:t>
      </w:r>
    </w:p>
    <w:p w14:paraId="221175FF" w14:textId="77777777" w:rsidR="00937F86" w:rsidRPr="007732B8" w:rsidRDefault="00000000" w:rsidP="007732B8">
      <w:pPr>
        <w:pStyle w:val="BodyText"/>
      </w:pPr>
      <w:r w:rsidRPr="007732B8">
        <w:t>Yes. The portal serves the same governed CPFR data that your ISM or CM references—forecast, inventory, and replenishment metrics specific to your organization. The difference is freshness and availability: portal data is refreshed daily rather than weekly, and you can access it any time without requesting a re-pull.</w:t>
      </w:r>
    </w:p>
    <w:p w14:paraId="12E86EB6" w14:textId="77777777" w:rsidR="00937F86" w:rsidRPr="007732B8" w:rsidRDefault="00000000" w:rsidP="007732B8">
      <w:pPr>
        <w:pStyle w:val="BodyText"/>
      </w:pPr>
      <w:r w:rsidRPr="007732B8">
        <w:lastRenderedPageBreak/>
        <w:t>Q: How do I manage who on my team has access?</w:t>
      </w:r>
    </w:p>
    <w:p w14:paraId="79EC02FF" w14:textId="77777777" w:rsidR="00937F86" w:rsidRPr="007732B8" w:rsidRDefault="00000000" w:rsidP="007732B8">
      <w:pPr>
        <w:pStyle w:val="BodyText"/>
      </w:pPr>
      <w:r w:rsidRPr="007732B8">
        <w:t>Chewy Partner Hub includes a self-service administration panel where you can add, remove, or update recipients within your organization at any time. Changes take effect immediately—no need to submit a request through your ISM or CPFR team. You control who receives reports and who has portal access.</w:t>
      </w:r>
    </w:p>
    <w:p w14:paraId="6E3BEA65" w14:textId="77777777" w:rsidR="00937F86" w:rsidRPr="007732B8" w:rsidRDefault="00000000" w:rsidP="007732B8">
      <w:pPr>
        <w:pStyle w:val="BodyText"/>
      </w:pPr>
      <w:r w:rsidRPr="007732B8">
        <w:t>Q: When will my company have access?</w:t>
      </w:r>
    </w:p>
    <w:p w14:paraId="0B9C04FA" w14:textId="77777777" w:rsidR="00937F86" w:rsidRPr="007732B8" w:rsidRDefault="00000000" w:rsidP="007732B8">
      <w:pPr>
        <w:pStyle w:val="BodyText"/>
      </w:pPr>
      <w:r w:rsidRPr="007732B8">
        <w:t>Access will be rolled out in phases by vendor tier following the module’s launch. Your ISM or CPFR team will notify you when your organization is eligible and provide onboarding instructions. There is no cost to participate, and vendors already enrolled in CPFR will not need to re-register.</w:t>
      </w:r>
    </w:p>
    <w:p w14:paraId="7B77AE07" w14:textId="77777777" w:rsidR="00937F86" w:rsidRPr="007732B8" w:rsidRDefault="00000000" w:rsidP="007732B8">
      <w:pPr>
        <w:pStyle w:val="BodyText"/>
      </w:pPr>
      <w:r w:rsidRPr="007732B8">
        <w:t>Q: Will Chewy Partner Hub include other supply chain data in the future?</w:t>
      </w:r>
    </w:p>
    <w:p w14:paraId="395C4020" w14:textId="77777777" w:rsidR="00937F86" w:rsidRPr="007732B8" w:rsidRDefault="00000000" w:rsidP="007732B8">
      <w:pPr>
        <w:pStyle w:val="BodyText"/>
      </w:pPr>
      <w:r w:rsidRPr="007732B8">
        <w:t>Chewy Partner Hub is designed as an expanding platform for supply chain collaboration. The CPFR module joins additional capabilities already in development. We look forward to sharing more as those become available.</w:t>
      </w:r>
    </w:p>
    <w:p w14:paraId="2314CF96" w14:textId="77777777" w:rsidR="00937F86" w:rsidRPr="007732B8" w:rsidRDefault="00000000" w:rsidP="007732B8">
      <w:pPr>
        <w:pStyle w:val="Heading2"/>
      </w:pPr>
      <w:r w:rsidRPr="007732B8">
        <w:t>TOP ASSUMPTIONS REQUIRING VALIDATION</w:t>
      </w:r>
    </w:p>
    <w:p w14:paraId="706C7DAA" w14:textId="77777777" w:rsidR="00937F86" w:rsidRPr="007732B8" w:rsidRDefault="00000000" w:rsidP="007732B8">
      <w:pPr>
        <w:pStyle w:val="ListNumber"/>
      </w:pPr>
      <w:r w:rsidRPr="007732B8">
        <w:t>CPH engineering capacity can be secured through allocation. This is the single largest delivery risk. The portal integration requires development capacity from the CPH engineering team, which is currently unassigned. Whether allocation alone—absent committed OP1 funding—can sustain the necessary engineering engagement through delivery is unproven.</w:t>
      </w:r>
    </w:p>
    <w:p w14:paraId="0D1DCA3D" w14:textId="77777777" w:rsidR="00937F86" w:rsidRPr="007732B8" w:rsidRDefault="00000000" w:rsidP="007732B8">
      <w:pPr>
        <w:pStyle w:val="ListNumber"/>
      </w:pPr>
      <w:r w:rsidRPr="007732B8">
        <w:t>The semantic data layer eliminates cross-system discrepancies. The governed CPFR data platform is designed to serve as the single source of truth for both portal and internal consumption. This is a load-bearing architectural claim that requires validation once both VDS and CPFR portal are reading from the same semantic layer.</w:t>
      </w:r>
    </w:p>
    <w:p w14:paraId="4AE433CB" w14:textId="77777777" w:rsidR="00937F86" w:rsidRPr="007732B8" w:rsidRDefault="00000000" w:rsidP="007732B8">
      <w:pPr>
        <w:pStyle w:val="ListNumber"/>
      </w:pPr>
      <w:r w:rsidRPr="007732B8">
        <w:t>Revenue-weighted vendor adoption will reach majority within 12 months. Supported by 96% approval and explicit enterprise vendor requests for portal access. However, approval of concept and adoption are different behaviors; long-tail vendor adoption rates are untested.</w:t>
      </w:r>
    </w:p>
    <w:p w14:paraId="2FA3BDFA" w14:textId="77777777" w:rsidR="00937F86" w:rsidRPr="007732B8" w:rsidRDefault="00000000" w:rsidP="007732B8">
      <w:pPr>
        <w:pStyle w:val="ListNumber"/>
      </w:pPr>
      <w:r w:rsidRPr="007732B8">
        <w:t>The VDS/CPFR scope distinction prevents merchandising pushback. The differentiation is clear in documentation but has not been tested with merchandising stakeholders who may perceive a revenue threat. If this distinction does not hold under scrutiny, it could become a political blocker.</w:t>
      </w:r>
    </w:p>
    <w:p w14:paraId="37BBE162" w14:textId="77777777" w:rsidR="00937F86" w:rsidRPr="007732B8" w:rsidRDefault="00000000" w:rsidP="007732B8">
      <w:pPr>
        <w:pStyle w:val="ListNumber"/>
      </w:pPr>
      <w:r w:rsidRPr="007732B8">
        <w:t>Cross-team coordination can be sustained without a dedicated TPM. The coordination role left vacant by five successive departures is currently being carried through allocation. Whether this is sustainable through delivery—particularly without committed OP1 funding to formalize the role—is an open question that directly affects execution risk.</w:t>
      </w:r>
    </w:p>
    <w:p w14:paraId="3DC243F8" w14:textId="77777777" w:rsidR="00937F86" w:rsidRPr="007732B8" w:rsidRDefault="00000000" w:rsidP="007732B8">
      <w:pPr>
        <w:pStyle w:val="BodyText"/>
        <w:rPr>
          <w:i/>
          <w:iCs/>
        </w:rPr>
      </w:pPr>
      <w:r w:rsidRPr="007732B8">
        <w:rPr>
          <w:i/>
          <w:iCs/>
          <w:color w:val="808080"/>
        </w:rPr>
        <w:t>This document is structured to serve as a standalone CPFR narrative and as a foundational backbone for integration with a Vendor Compliance PRFAQ when that workstream’s details are finalized.</w:t>
      </w:r>
    </w:p>
    <w:sectPr w:rsidR="00937F86" w:rsidRPr="007732B8" w:rsidSect="007732B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BE06E4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AEC9B02"/>
    <w:lvl w:ilvl="0">
      <w:start w:val="1"/>
      <w:numFmt w:val="bullet"/>
      <w:pStyle w:val="ListBullet"/>
      <w:lvlText w:val=""/>
      <w:lvlJc w:val="left"/>
      <w:pPr>
        <w:ind w:left="288" w:hanging="288"/>
      </w:pPr>
      <w:rPr>
        <w:rFonts w:ascii="Symbol" w:hAnsi="Symbol" w:hint="default"/>
      </w:rPr>
    </w:lvl>
  </w:abstractNum>
  <w:abstractNum w:abstractNumId="2" w15:restartNumberingAfterBreak="0">
    <w:nsid w:val="247B388F"/>
    <w:multiLevelType w:val="hybridMultilevel"/>
    <w:tmpl w:val="0D803122"/>
    <w:lvl w:ilvl="0" w:tplc="441692F4">
      <w:start w:val="1"/>
      <w:numFmt w:val="decimal"/>
      <w:lvlText w:val="%1."/>
      <w:lvlJc w:val="left"/>
      <w:pPr>
        <w:ind w:left="720" w:hanging="360"/>
      </w:pPr>
    </w:lvl>
    <w:lvl w:ilvl="1" w:tplc="0A12A8C6">
      <w:numFmt w:val="decimal"/>
      <w:lvlText w:val=""/>
      <w:lvlJc w:val="left"/>
    </w:lvl>
    <w:lvl w:ilvl="2" w:tplc="59C098A2">
      <w:numFmt w:val="decimal"/>
      <w:lvlText w:val=""/>
      <w:lvlJc w:val="left"/>
    </w:lvl>
    <w:lvl w:ilvl="3" w:tplc="F93AC630">
      <w:numFmt w:val="decimal"/>
      <w:lvlText w:val=""/>
      <w:lvlJc w:val="left"/>
    </w:lvl>
    <w:lvl w:ilvl="4" w:tplc="AC3635A6">
      <w:numFmt w:val="decimal"/>
      <w:lvlText w:val=""/>
      <w:lvlJc w:val="left"/>
    </w:lvl>
    <w:lvl w:ilvl="5" w:tplc="A392931E">
      <w:numFmt w:val="decimal"/>
      <w:lvlText w:val=""/>
      <w:lvlJc w:val="left"/>
    </w:lvl>
    <w:lvl w:ilvl="6" w:tplc="6F105326">
      <w:numFmt w:val="decimal"/>
      <w:lvlText w:val=""/>
      <w:lvlJc w:val="left"/>
    </w:lvl>
    <w:lvl w:ilvl="7" w:tplc="616E5782">
      <w:numFmt w:val="decimal"/>
      <w:lvlText w:val=""/>
      <w:lvlJc w:val="left"/>
    </w:lvl>
    <w:lvl w:ilvl="8" w:tplc="8B98DAEC">
      <w:numFmt w:val="decimal"/>
      <w:lvlText w:val=""/>
      <w:lvlJc w:val="left"/>
    </w:lvl>
  </w:abstractNum>
  <w:abstractNum w:abstractNumId="3" w15:restartNumberingAfterBreak="0">
    <w:nsid w:val="26C04585"/>
    <w:multiLevelType w:val="hybridMultilevel"/>
    <w:tmpl w:val="A8F0B0CC"/>
    <w:lvl w:ilvl="0" w:tplc="05526D24">
      <w:start w:val="1"/>
      <w:numFmt w:val="bullet"/>
      <w:lvlText w:val="•"/>
      <w:lvlJc w:val="left"/>
      <w:pPr>
        <w:ind w:left="720" w:hanging="360"/>
      </w:pPr>
    </w:lvl>
    <w:lvl w:ilvl="1" w:tplc="6FE87920">
      <w:numFmt w:val="decimal"/>
      <w:lvlText w:val=""/>
      <w:lvlJc w:val="left"/>
    </w:lvl>
    <w:lvl w:ilvl="2" w:tplc="257C6946">
      <w:numFmt w:val="decimal"/>
      <w:lvlText w:val=""/>
      <w:lvlJc w:val="left"/>
    </w:lvl>
    <w:lvl w:ilvl="3" w:tplc="00181B74">
      <w:numFmt w:val="decimal"/>
      <w:lvlText w:val=""/>
      <w:lvlJc w:val="left"/>
    </w:lvl>
    <w:lvl w:ilvl="4" w:tplc="767AC486">
      <w:numFmt w:val="decimal"/>
      <w:lvlText w:val=""/>
      <w:lvlJc w:val="left"/>
    </w:lvl>
    <w:lvl w:ilvl="5" w:tplc="D5BC0598">
      <w:numFmt w:val="decimal"/>
      <w:lvlText w:val=""/>
      <w:lvlJc w:val="left"/>
    </w:lvl>
    <w:lvl w:ilvl="6" w:tplc="EE9A2222">
      <w:numFmt w:val="decimal"/>
      <w:lvlText w:val=""/>
      <w:lvlJc w:val="left"/>
    </w:lvl>
    <w:lvl w:ilvl="7" w:tplc="E92CD300">
      <w:numFmt w:val="decimal"/>
      <w:lvlText w:val=""/>
      <w:lvlJc w:val="left"/>
    </w:lvl>
    <w:lvl w:ilvl="8" w:tplc="2E6A2414">
      <w:numFmt w:val="decimal"/>
      <w:lvlText w:val=""/>
      <w:lvlJc w:val="left"/>
    </w:lvl>
  </w:abstractNum>
  <w:abstractNum w:abstractNumId="4" w15:restartNumberingAfterBreak="0">
    <w:nsid w:val="5FB56471"/>
    <w:multiLevelType w:val="hybridMultilevel"/>
    <w:tmpl w:val="0B5AD91E"/>
    <w:lvl w:ilvl="0" w:tplc="13AE7014">
      <w:start w:val="1"/>
      <w:numFmt w:val="decimal"/>
      <w:lvlText w:val="%1."/>
      <w:lvlJc w:val="left"/>
      <w:pPr>
        <w:ind w:left="720" w:hanging="360"/>
      </w:pPr>
    </w:lvl>
    <w:lvl w:ilvl="1" w:tplc="25A6B4E6">
      <w:numFmt w:val="decimal"/>
      <w:lvlText w:val=""/>
      <w:lvlJc w:val="left"/>
    </w:lvl>
    <w:lvl w:ilvl="2" w:tplc="494669B4">
      <w:numFmt w:val="decimal"/>
      <w:lvlText w:val=""/>
      <w:lvlJc w:val="left"/>
    </w:lvl>
    <w:lvl w:ilvl="3" w:tplc="7C762E46">
      <w:numFmt w:val="decimal"/>
      <w:lvlText w:val=""/>
      <w:lvlJc w:val="left"/>
    </w:lvl>
    <w:lvl w:ilvl="4" w:tplc="C30889FA">
      <w:numFmt w:val="decimal"/>
      <w:lvlText w:val=""/>
      <w:lvlJc w:val="left"/>
    </w:lvl>
    <w:lvl w:ilvl="5" w:tplc="B0F08E2E">
      <w:numFmt w:val="decimal"/>
      <w:lvlText w:val=""/>
      <w:lvlJc w:val="left"/>
    </w:lvl>
    <w:lvl w:ilvl="6" w:tplc="EFB800DC">
      <w:numFmt w:val="decimal"/>
      <w:lvlText w:val=""/>
      <w:lvlJc w:val="left"/>
    </w:lvl>
    <w:lvl w:ilvl="7" w:tplc="2E4A23A4">
      <w:numFmt w:val="decimal"/>
      <w:lvlText w:val=""/>
      <w:lvlJc w:val="left"/>
    </w:lvl>
    <w:lvl w:ilvl="8" w:tplc="8F960654">
      <w:numFmt w:val="decimal"/>
      <w:lvlText w:val=""/>
      <w:lvlJc w:val="left"/>
    </w:lvl>
  </w:abstractNum>
  <w:abstractNum w:abstractNumId="5" w15:restartNumberingAfterBreak="0">
    <w:nsid w:val="7C58154C"/>
    <w:multiLevelType w:val="hybridMultilevel"/>
    <w:tmpl w:val="7E1EC720"/>
    <w:lvl w:ilvl="0" w:tplc="A412E9EC">
      <w:start w:val="1"/>
      <w:numFmt w:val="bullet"/>
      <w:lvlText w:val="●"/>
      <w:lvlJc w:val="left"/>
      <w:pPr>
        <w:ind w:left="720" w:hanging="360"/>
      </w:pPr>
    </w:lvl>
    <w:lvl w:ilvl="1" w:tplc="ADF65660">
      <w:start w:val="1"/>
      <w:numFmt w:val="bullet"/>
      <w:lvlText w:val="○"/>
      <w:lvlJc w:val="left"/>
      <w:pPr>
        <w:ind w:left="1440" w:hanging="360"/>
      </w:pPr>
    </w:lvl>
    <w:lvl w:ilvl="2" w:tplc="18DE6F34">
      <w:start w:val="1"/>
      <w:numFmt w:val="bullet"/>
      <w:lvlText w:val="■"/>
      <w:lvlJc w:val="left"/>
      <w:pPr>
        <w:ind w:left="2160" w:hanging="360"/>
      </w:pPr>
    </w:lvl>
    <w:lvl w:ilvl="3" w:tplc="A71A129C">
      <w:start w:val="1"/>
      <w:numFmt w:val="bullet"/>
      <w:lvlText w:val="●"/>
      <w:lvlJc w:val="left"/>
      <w:pPr>
        <w:ind w:left="2880" w:hanging="360"/>
      </w:pPr>
    </w:lvl>
    <w:lvl w:ilvl="4" w:tplc="3E96556A">
      <w:start w:val="1"/>
      <w:numFmt w:val="bullet"/>
      <w:lvlText w:val="○"/>
      <w:lvlJc w:val="left"/>
      <w:pPr>
        <w:ind w:left="3600" w:hanging="360"/>
      </w:pPr>
    </w:lvl>
    <w:lvl w:ilvl="5" w:tplc="3E604670">
      <w:start w:val="1"/>
      <w:numFmt w:val="bullet"/>
      <w:lvlText w:val="■"/>
      <w:lvlJc w:val="left"/>
      <w:pPr>
        <w:ind w:left="4320" w:hanging="360"/>
      </w:pPr>
    </w:lvl>
    <w:lvl w:ilvl="6" w:tplc="9DD68AEC">
      <w:start w:val="1"/>
      <w:numFmt w:val="bullet"/>
      <w:lvlText w:val="●"/>
      <w:lvlJc w:val="left"/>
      <w:pPr>
        <w:ind w:left="5040" w:hanging="360"/>
      </w:pPr>
    </w:lvl>
    <w:lvl w:ilvl="7" w:tplc="1FEA97B6">
      <w:start w:val="1"/>
      <w:numFmt w:val="bullet"/>
      <w:lvlText w:val="●"/>
      <w:lvlJc w:val="left"/>
      <w:pPr>
        <w:ind w:left="5760" w:hanging="360"/>
      </w:pPr>
    </w:lvl>
    <w:lvl w:ilvl="8" w:tplc="C01EC52E">
      <w:start w:val="1"/>
      <w:numFmt w:val="bullet"/>
      <w:lvlText w:val="●"/>
      <w:lvlJc w:val="left"/>
      <w:pPr>
        <w:ind w:left="6480" w:hanging="360"/>
      </w:pPr>
    </w:lvl>
  </w:abstractNum>
  <w:num w:numId="1" w16cid:durableId="1549337920">
    <w:abstractNumId w:val="5"/>
    <w:lvlOverride w:ilvl="0">
      <w:startOverride w:val="1"/>
    </w:lvlOverride>
  </w:num>
  <w:num w:numId="2" w16cid:durableId="36201697">
    <w:abstractNumId w:val="3"/>
    <w:lvlOverride w:ilvl="0">
      <w:startOverride w:val="1"/>
    </w:lvlOverride>
  </w:num>
  <w:num w:numId="3" w16cid:durableId="239796609">
    <w:abstractNumId w:val="2"/>
    <w:lvlOverride w:ilvl="0">
      <w:startOverride w:val="1"/>
    </w:lvlOverride>
  </w:num>
  <w:num w:numId="4" w16cid:durableId="2099524096">
    <w:abstractNumId w:val="4"/>
    <w:lvlOverride w:ilvl="0">
      <w:startOverride w:val="1"/>
    </w:lvlOverride>
  </w:num>
  <w:num w:numId="5" w16cid:durableId="1571040915">
    <w:abstractNumId w:val="0"/>
  </w:num>
  <w:num w:numId="6" w16cid:durableId="747044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F86"/>
    <w:rsid w:val="006F4BEF"/>
    <w:rsid w:val="007732B8"/>
    <w:rsid w:val="00937F86"/>
    <w:rsid w:val="00EF0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2B84C6"/>
  <w15:docId w15:val="{BA9E9F58-A7AF-674F-A8E4-001DF544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7732B8"/>
    <w:pPr>
      <w:spacing w:after="180" w:line="264" w:lineRule="auto"/>
      <w:outlineLvl w:val="0"/>
    </w:pPr>
    <w:rPr>
      <w:b/>
      <w:bCs/>
      <w:sz w:val="32"/>
      <w:szCs w:val="32"/>
    </w:rPr>
  </w:style>
  <w:style w:type="paragraph" w:styleId="Heading2">
    <w:name w:val="heading 2"/>
    <w:uiPriority w:val="9"/>
    <w:unhideWhenUsed/>
    <w:qFormat/>
    <w:rsid w:val="007732B8"/>
    <w:pPr>
      <w:pBdr>
        <w:top w:val="single" w:sz="12" w:space="6" w:color="auto"/>
      </w:pBdr>
      <w:spacing w:before="180" w:after="180" w:line="264" w:lineRule="auto"/>
      <w:outlineLvl w:val="1"/>
    </w:pPr>
    <w:rPr>
      <w:b/>
      <w:bCs/>
      <w:sz w:val="24"/>
      <w:szCs w:val="26"/>
    </w:rPr>
  </w:style>
  <w:style w:type="paragraph" w:styleId="Heading3">
    <w:name w:val="heading 3"/>
    <w:uiPriority w:val="9"/>
    <w:unhideWhenUsed/>
    <w:qFormat/>
    <w:rsid w:val="007732B8"/>
    <w:pPr>
      <w:spacing w:before="180" w:after="180" w:line="264" w:lineRule="auto"/>
      <w:outlineLvl w:val="2"/>
    </w:pPr>
    <w:rPr>
      <w:b/>
      <w:bCs/>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99"/>
    <w:unhideWhenUsed/>
    <w:qFormat/>
    <w:rsid w:val="007732B8"/>
    <w:pPr>
      <w:spacing w:before="120" w:after="120" w:line="264" w:lineRule="auto"/>
    </w:pPr>
    <w:rPr>
      <w:rFonts w:asciiTheme="minorHAnsi" w:hAnsiTheme="minorHAnsi"/>
      <w:sz w:val="20"/>
    </w:rPr>
  </w:style>
  <w:style w:type="character" w:customStyle="1" w:styleId="BodyTextChar">
    <w:name w:val="Body Text Char"/>
    <w:basedOn w:val="DefaultParagraphFont"/>
    <w:link w:val="BodyText"/>
    <w:uiPriority w:val="99"/>
    <w:rsid w:val="007732B8"/>
    <w:rPr>
      <w:rFonts w:asciiTheme="minorHAnsi" w:hAnsiTheme="minorHAnsi"/>
      <w:sz w:val="20"/>
    </w:rPr>
  </w:style>
  <w:style w:type="paragraph" w:styleId="ListNumber">
    <w:name w:val="List Number"/>
    <w:basedOn w:val="Normal"/>
    <w:uiPriority w:val="99"/>
    <w:unhideWhenUsed/>
    <w:rsid w:val="007732B8"/>
    <w:pPr>
      <w:numPr>
        <w:numId w:val="5"/>
      </w:numPr>
      <w:spacing w:before="120" w:after="120" w:line="264" w:lineRule="auto"/>
      <w:contextualSpacing/>
    </w:pPr>
    <w:rPr>
      <w:rFonts w:asciiTheme="minorHAnsi" w:hAnsiTheme="minorHAnsi"/>
      <w:sz w:val="20"/>
    </w:rPr>
  </w:style>
  <w:style w:type="paragraph" w:styleId="ListBullet">
    <w:name w:val="List Bullet"/>
    <w:basedOn w:val="Normal"/>
    <w:uiPriority w:val="99"/>
    <w:unhideWhenUsed/>
    <w:qFormat/>
    <w:rsid w:val="007732B8"/>
    <w:pPr>
      <w:numPr>
        <w:numId w:val="6"/>
      </w:numPr>
      <w:contextualSpacing/>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2410</Words>
  <Characters>14057</Characters>
  <Application>Microsoft Office Word</Application>
  <DocSecurity>0</DocSecurity>
  <Lines>216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2</cp:revision>
  <dcterms:created xsi:type="dcterms:W3CDTF">2026-03-11T04:51:00Z</dcterms:created>
  <dcterms:modified xsi:type="dcterms:W3CDTF">2026-03-11T05:10:00Z</dcterms:modified>
</cp:coreProperties>
</file>