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04FD" w14:textId="77777777" w:rsidR="003C6BE6" w:rsidRDefault="003C6BE6" w:rsidP="003C6BE6">
      <w:pPr>
        <w:pStyle w:val="Header"/>
        <w:tabs>
          <w:tab w:val="clear" w:pos="4680"/>
          <w:tab w:val="clear" w:pos="9360"/>
          <w:tab w:val="center" w:pos="5400"/>
          <w:tab w:val="right" w:pos="10800"/>
        </w:tabs>
        <w:spacing w:after="240" w:line="264" w:lineRule="auto"/>
      </w:pPr>
      <w:r>
        <w:t>CPFR Data Platform and Chewy Partner Hub Portal</w:t>
      </w:r>
      <w:r>
        <w:tab/>
      </w:r>
      <w:r>
        <w:tab/>
        <w:t>Project Entitlement</w:t>
      </w:r>
    </w:p>
    <w:p w14:paraId="299D0BE4" w14:textId="67E6C7CB" w:rsidR="00EB609A" w:rsidRPr="00D0092F" w:rsidRDefault="00EB609A" w:rsidP="009206BA">
      <w:pPr>
        <w:pStyle w:val="Heading1"/>
      </w:pPr>
      <w:r w:rsidRPr="00D0092F">
        <w:t>Executive Summary</w:t>
      </w:r>
    </w:p>
    <w:p w14:paraId="2DF64E4F" w14:textId="6F503AEB" w:rsidR="009206BA" w:rsidRPr="009206BA" w:rsidRDefault="009206BA" w:rsidP="009206BA">
      <w:pPr>
        <w:spacing w:line="240" w:lineRule="auto"/>
        <w:rPr>
          <w:szCs w:val="20"/>
        </w:rPr>
      </w:pPr>
      <w:r w:rsidRPr="009206BA">
        <w:rPr>
          <w:szCs w:val="20"/>
        </w:rPr>
        <w:t>Chewy’s CPFR program is transforming how supply-chain data is shared and understood. Today, weekly emailed reports—each built from multiple queries</w:t>
      </w:r>
      <w:r w:rsidR="00390734">
        <w:rPr>
          <w:szCs w:val="20"/>
        </w:rPr>
        <w:t xml:space="preserve">—and </w:t>
      </w:r>
      <w:r w:rsidRPr="009206BA">
        <w:rPr>
          <w:szCs w:val="20"/>
        </w:rPr>
        <w:t>parallel VDS processes</w:t>
      </w:r>
      <w:r w:rsidR="00390734">
        <w:rPr>
          <w:szCs w:val="20"/>
        </w:rPr>
        <w:t xml:space="preserve">, </w:t>
      </w:r>
      <w:r w:rsidRPr="009206BA">
        <w:rPr>
          <w:szCs w:val="20"/>
        </w:rPr>
        <w:t>fragment visibility, duplicate effort, and limit scalability.</w:t>
      </w:r>
    </w:p>
    <w:p w14:paraId="61B9CB5A" w14:textId="6D3EF9B1" w:rsidR="009206BA" w:rsidRDefault="009206BA" w:rsidP="009206BA">
      <w:pPr>
        <w:spacing w:line="240" w:lineRule="auto"/>
        <w:rPr>
          <w:szCs w:val="20"/>
        </w:rPr>
      </w:pPr>
      <w:r w:rsidRPr="009206BA">
        <w:rPr>
          <w:szCs w:val="20"/>
        </w:rPr>
        <w:t xml:space="preserve">This initiative unites two complementary components: a centralized data platform in Snowflake that delivers governed, daily CPFR </w:t>
      </w:r>
      <w:proofErr w:type="gramStart"/>
      <w:r w:rsidRPr="009206BA">
        <w:rPr>
          <w:szCs w:val="20"/>
        </w:rPr>
        <w:t>data at</w:t>
      </w:r>
      <w:proofErr w:type="gramEnd"/>
      <w:r w:rsidRPr="009206BA">
        <w:rPr>
          <w:szCs w:val="20"/>
        </w:rPr>
        <w:t xml:space="preserve"> scale</w:t>
      </w:r>
      <w:r w:rsidR="00390734">
        <w:rPr>
          <w:szCs w:val="20"/>
        </w:rPr>
        <w:t>,</w:t>
      </w:r>
      <w:r w:rsidRPr="009206BA">
        <w:rPr>
          <w:szCs w:val="20"/>
        </w:rPr>
        <w:t xml:space="preserve"> and a CPFR Vendor Portal within Chewy Partner Hub (CPH), that offers vendors secure, always-on access through a modern interface. Together, these capabilities create a shared, consistent foundation that strengthens vendor collaboration and focus, simplifies access, and positions the organization for sustained collaborative growth.</w:t>
      </w:r>
      <w:r>
        <w:rPr>
          <w:szCs w:val="20"/>
        </w:rPr>
        <w:t xml:space="preserve"> </w:t>
      </w:r>
      <w:r w:rsidRPr="009206BA">
        <w:rPr>
          <w:szCs w:val="20"/>
        </w:rPr>
        <w:t xml:space="preserve">The combined annual benefit is projected at roughly $1.5–1.7 million, driven by improved efficiency, reduced reconciliation effort, faster vendor alignment, and </w:t>
      </w:r>
      <w:r w:rsidR="00390734">
        <w:rPr>
          <w:szCs w:val="20"/>
        </w:rPr>
        <w:t>deep</w:t>
      </w:r>
      <w:r w:rsidRPr="009206BA">
        <w:rPr>
          <w:szCs w:val="20"/>
        </w:rPr>
        <w:t xml:space="preserve">er vendor participation. Beyond measurable savings, this platform </w:t>
      </w:r>
      <w:r w:rsidR="00390734">
        <w:rPr>
          <w:szCs w:val="20"/>
        </w:rPr>
        <w:t xml:space="preserve">also </w:t>
      </w:r>
      <w:r w:rsidRPr="009206BA">
        <w:rPr>
          <w:szCs w:val="20"/>
        </w:rPr>
        <w:t>establishes CPFR as a cornerstone for cross-team collaboration and future AI-driven insight.</w:t>
      </w:r>
    </w:p>
    <w:p w14:paraId="31E4327C" w14:textId="74A464BE" w:rsidR="00EB609A" w:rsidRPr="00D0092F" w:rsidRDefault="00EB609A" w:rsidP="009206BA">
      <w:pPr>
        <w:pStyle w:val="Heading1"/>
      </w:pPr>
      <w:r w:rsidRPr="00D0092F">
        <w:t>Context and Current State</w:t>
      </w:r>
    </w:p>
    <w:p w14:paraId="2DF43258" w14:textId="77777777" w:rsidR="009206BA" w:rsidRPr="009206BA" w:rsidRDefault="009206BA" w:rsidP="009206BA">
      <w:pPr>
        <w:spacing w:line="240" w:lineRule="auto"/>
        <w:rPr>
          <w:szCs w:val="20"/>
        </w:rPr>
      </w:pPr>
      <w:r w:rsidRPr="009206BA">
        <w:rPr>
          <w:szCs w:val="20"/>
        </w:rPr>
        <w:t>Across Chewy’s supply chain, CPFR activities span multiple processes and workstreams that depend on parallel data pulls, manual coordination, and frequent reconciliation. These distributed practices create friction that limits scale and consistency.</w:t>
      </w:r>
    </w:p>
    <w:p w14:paraId="7D5CF534" w14:textId="627AEA21" w:rsidR="009206BA" w:rsidRPr="009206BA" w:rsidRDefault="009206BA" w:rsidP="009206BA">
      <w:pPr>
        <w:spacing w:line="240" w:lineRule="auto"/>
        <w:rPr>
          <w:szCs w:val="20"/>
        </w:rPr>
      </w:pPr>
      <w:r w:rsidRPr="009206BA">
        <w:rPr>
          <w:szCs w:val="20"/>
        </w:rPr>
        <w:t>Today, CPFR distributes weekly inventory and forecast reports to more than 2,300 vendors. While some steps are automated, each cycle still depends on semi-manual initiation</w:t>
      </w:r>
      <w:r>
        <w:rPr>
          <w:szCs w:val="20"/>
        </w:rPr>
        <w:t xml:space="preserve">, </w:t>
      </w:r>
      <w:r w:rsidRPr="009206BA">
        <w:rPr>
          <w:szCs w:val="20"/>
        </w:rPr>
        <w:t>recurring adjustments</w:t>
      </w:r>
      <w:r>
        <w:rPr>
          <w:szCs w:val="20"/>
        </w:rPr>
        <w:t xml:space="preserve"> to </w:t>
      </w:r>
      <w:r w:rsidRPr="009206BA">
        <w:rPr>
          <w:szCs w:val="20"/>
        </w:rPr>
        <w:t>contact and report configurations</w:t>
      </w:r>
      <w:r>
        <w:rPr>
          <w:szCs w:val="20"/>
        </w:rPr>
        <w:t>, and frequent re-sends</w:t>
      </w:r>
      <w:r w:rsidRPr="009206BA">
        <w:rPr>
          <w:szCs w:val="20"/>
        </w:rPr>
        <w:t xml:space="preserve">. These repetitive tasks—along with the corrective work that follows minor data discrepancies—inflate otherwise avoidable effort and consume time that could be redirected toward proactive vendor engagement. This cycle also introduces the risk of version drift, when teams or vendors reference slightly different report iterations and </w:t>
      </w:r>
      <w:r>
        <w:rPr>
          <w:szCs w:val="20"/>
        </w:rPr>
        <w:t>data</w:t>
      </w:r>
      <w:r w:rsidRPr="009206BA">
        <w:rPr>
          <w:szCs w:val="20"/>
        </w:rPr>
        <w:t>.</w:t>
      </w:r>
    </w:p>
    <w:p w14:paraId="38A292CC" w14:textId="2C980065" w:rsidR="009206BA" w:rsidRDefault="009206BA" w:rsidP="009206BA">
      <w:pPr>
        <w:spacing w:line="240" w:lineRule="auto"/>
        <w:rPr>
          <w:szCs w:val="20"/>
        </w:rPr>
      </w:pPr>
      <w:r w:rsidRPr="009206BA">
        <w:rPr>
          <w:szCs w:val="20"/>
        </w:rPr>
        <w:t xml:space="preserve">VDS currently provides on-demand dashboards for a smaller premium vendor group. Its session-based model is effective for deep exploration and security </w:t>
      </w:r>
      <w:proofErr w:type="gramStart"/>
      <w:r w:rsidRPr="009206BA">
        <w:rPr>
          <w:szCs w:val="20"/>
        </w:rPr>
        <w:t>isolation, yet</w:t>
      </w:r>
      <w:proofErr w:type="gramEnd"/>
      <w:r w:rsidRPr="009206BA">
        <w:rPr>
          <w:szCs w:val="20"/>
        </w:rPr>
        <w:t xml:space="preserve"> scales poorly to thousands of concurrent vendors and complicates historical comparisons.</w:t>
      </w:r>
      <w:r>
        <w:rPr>
          <w:szCs w:val="20"/>
        </w:rPr>
        <w:t xml:space="preserve"> </w:t>
      </w:r>
      <w:r w:rsidRPr="009206BA">
        <w:rPr>
          <w:szCs w:val="20"/>
        </w:rPr>
        <w:t>In parallel, the Vendor Compliance (VC) team and Replen Tech are developing a portal on CPH. This presents a timely opportunity to align CPFR modernization with an existing, funded initiative. Through co-development, CPFR contributes governance and data design, while leveraging Replen Tech’s product management, engineering, and EDS security resources.</w:t>
      </w:r>
    </w:p>
    <w:p w14:paraId="2B82EAED" w14:textId="3415852B" w:rsidR="00EB609A" w:rsidRPr="00EB609A" w:rsidRDefault="00EB609A" w:rsidP="009206BA">
      <w:pPr>
        <w:pStyle w:val="Heading1"/>
      </w:pPr>
      <w:r w:rsidRPr="00EB609A">
        <w:t>Entitlement Overview — Classes of Benefit</w:t>
      </w:r>
    </w:p>
    <w:p w14:paraId="25CFC962" w14:textId="7B5F990B" w:rsidR="009206BA" w:rsidRPr="009206BA" w:rsidRDefault="009206BA" w:rsidP="009206BA">
      <w:pPr>
        <w:spacing w:line="240" w:lineRule="auto"/>
        <w:rPr>
          <w:szCs w:val="20"/>
        </w:rPr>
      </w:pPr>
      <w:r w:rsidRPr="009206BA">
        <w:rPr>
          <w:szCs w:val="20"/>
        </w:rPr>
        <w:t>1. Operational Cohesion and Efficiency</w:t>
      </w:r>
    </w:p>
    <w:p w14:paraId="7359CA2F" w14:textId="34EF716B" w:rsidR="009206BA" w:rsidRPr="009206BA" w:rsidRDefault="009206BA" w:rsidP="009206BA">
      <w:pPr>
        <w:spacing w:line="240" w:lineRule="auto"/>
        <w:rPr>
          <w:szCs w:val="20"/>
        </w:rPr>
      </w:pPr>
      <w:r w:rsidRPr="009206BA">
        <w:rPr>
          <w:szCs w:val="20"/>
        </w:rPr>
        <w:t xml:space="preserve">A unified platform eliminates redundant </w:t>
      </w:r>
      <w:r w:rsidR="004120ED">
        <w:rPr>
          <w:szCs w:val="20"/>
        </w:rPr>
        <w:t>action</w:t>
      </w:r>
      <w:r w:rsidRPr="009206BA">
        <w:rPr>
          <w:szCs w:val="20"/>
        </w:rPr>
        <w:t xml:space="preserve"> and manual reconciliations. Internal teams and vendors will draw from the same governed data sources, ensuring consistent interpretation of fill rate, PDP, forecast, and other key metrics. Automated refresh and role-based access—ensuring each vendor sees only their own data—replace </w:t>
      </w:r>
      <w:r w:rsidR="000D00FC">
        <w:rPr>
          <w:szCs w:val="20"/>
        </w:rPr>
        <w:t>brittle</w:t>
      </w:r>
      <w:r w:rsidRPr="009206BA">
        <w:rPr>
          <w:szCs w:val="20"/>
        </w:rPr>
        <w:t xml:space="preserve"> report assembly for both outbound report</w:t>
      </w:r>
      <w:r w:rsidR="004120ED">
        <w:rPr>
          <w:szCs w:val="20"/>
        </w:rPr>
        <w:t>s</w:t>
      </w:r>
      <w:r w:rsidRPr="009206BA">
        <w:rPr>
          <w:szCs w:val="20"/>
        </w:rPr>
        <w:t xml:space="preserve"> and internal </w:t>
      </w:r>
      <w:r w:rsidR="004120ED">
        <w:rPr>
          <w:szCs w:val="20"/>
        </w:rPr>
        <w:t>analyses</w:t>
      </w:r>
      <w:r w:rsidRPr="009206BA">
        <w:rPr>
          <w:szCs w:val="20"/>
        </w:rPr>
        <w:t>.</w:t>
      </w:r>
      <w:r>
        <w:rPr>
          <w:szCs w:val="20"/>
        </w:rPr>
        <w:t xml:space="preserve"> </w:t>
      </w:r>
      <w:r w:rsidRPr="009206BA">
        <w:rPr>
          <w:szCs w:val="20"/>
        </w:rPr>
        <w:t>Th</w:t>
      </w:r>
      <w:r w:rsidR="000D00FC">
        <w:rPr>
          <w:szCs w:val="20"/>
        </w:rPr>
        <w:t xml:space="preserve">is </w:t>
      </w:r>
      <w:r w:rsidRPr="009206BA">
        <w:rPr>
          <w:szCs w:val="20"/>
        </w:rPr>
        <w:t>increase</w:t>
      </w:r>
      <w:r w:rsidR="000D00FC">
        <w:rPr>
          <w:szCs w:val="20"/>
        </w:rPr>
        <w:t>s</w:t>
      </w:r>
      <w:r w:rsidRPr="009206BA">
        <w:rPr>
          <w:szCs w:val="20"/>
        </w:rPr>
        <w:t xml:space="preserve"> analytical capacity </w:t>
      </w:r>
      <w:r w:rsidR="004120ED">
        <w:rPr>
          <w:szCs w:val="20"/>
        </w:rPr>
        <w:t xml:space="preserve">by </w:t>
      </w:r>
      <w:r w:rsidRPr="009206BA">
        <w:rPr>
          <w:szCs w:val="20"/>
        </w:rPr>
        <w:t>focus</w:t>
      </w:r>
      <w:r w:rsidR="004120ED">
        <w:rPr>
          <w:szCs w:val="20"/>
        </w:rPr>
        <w:t xml:space="preserve">ing instock </w:t>
      </w:r>
      <w:r w:rsidRPr="009206BA">
        <w:rPr>
          <w:szCs w:val="20"/>
        </w:rPr>
        <w:t>staff</w:t>
      </w:r>
      <w:r w:rsidR="004120ED">
        <w:rPr>
          <w:szCs w:val="20"/>
        </w:rPr>
        <w:t xml:space="preserve"> on critical decision making</w:t>
      </w:r>
      <w:r w:rsidRPr="009206BA">
        <w:rPr>
          <w:szCs w:val="20"/>
        </w:rPr>
        <w:t>,</w:t>
      </w:r>
      <w:r w:rsidR="004120ED">
        <w:rPr>
          <w:szCs w:val="20"/>
        </w:rPr>
        <w:t xml:space="preserve"> </w:t>
      </w:r>
      <w:r w:rsidRPr="009206BA">
        <w:rPr>
          <w:szCs w:val="20"/>
        </w:rPr>
        <w:t>spend</w:t>
      </w:r>
      <w:r w:rsidR="004120ED">
        <w:rPr>
          <w:szCs w:val="20"/>
        </w:rPr>
        <w:t>ing</w:t>
      </w:r>
      <w:r w:rsidRPr="009206BA">
        <w:rPr>
          <w:szCs w:val="20"/>
        </w:rPr>
        <w:t xml:space="preserve"> less time compiling</w:t>
      </w:r>
      <w:r w:rsidR="004120ED">
        <w:rPr>
          <w:szCs w:val="20"/>
        </w:rPr>
        <w:t xml:space="preserve"> data</w:t>
      </w:r>
      <w:r w:rsidRPr="009206BA">
        <w:rPr>
          <w:szCs w:val="20"/>
        </w:rPr>
        <w:t xml:space="preserve"> and more time on planning, root-cause analysis, and vendor collaboration.</w:t>
      </w:r>
    </w:p>
    <w:p w14:paraId="78FFB870" w14:textId="508877DC" w:rsidR="009206BA" w:rsidRPr="009206BA" w:rsidRDefault="009206BA" w:rsidP="009206BA">
      <w:pPr>
        <w:spacing w:line="240" w:lineRule="auto"/>
        <w:rPr>
          <w:szCs w:val="20"/>
        </w:rPr>
      </w:pPr>
      <w:r w:rsidRPr="009206BA">
        <w:rPr>
          <w:szCs w:val="20"/>
        </w:rPr>
        <w:t>2. Vendor Enablement and Partnership Expansion</w:t>
      </w:r>
    </w:p>
    <w:p w14:paraId="441A4159" w14:textId="4FF0B9F8" w:rsidR="009206BA" w:rsidRPr="009206BA" w:rsidRDefault="009206BA" w:rsidP="009206BA">
      <w:pPr>
        <w:spacing w:line="240" w:lineRule="auto"/>
        <w:rPr>
          <w:szCs w:val="20"/>
        </w:rPr>
      </w:pPr>
      <w:r w:rsidRPr="009206BA">
        <w:rPr>
          <w:szCs w:val="20"/>
        </w:rPr>
        <w:t xml:space="preserve">Within CPH, vendors gain </w:t>
      </w:r>
      <w:proofErr w:type="gramStart"/>
      <w:r w:rsidRPr="009206BA">
        <w:rPr>
          <w:szCs w:val="20"/>
        </w:rPr>
        <w:t>continuous,</w:t>
      </w:r>
      <w:proofErr w:type="gramEnd"/>
      <w:r w:rsidRPr="009206BA">
        <w:rPr>
          <w:szCs w:val="20"/>
        </w:rPr>
        <w:t xml:space="preserve"> self-service access to accurate daily data filtered to their specific SKUs. They will also be able to update contact details and communication preferences </w:t>
      </w:r>
      <w:proofErr w:type="gramStart"/>
      <w:r w:rsidRPr="009206BA">
        <w:rPr>
          <w:szCs w:val="20"/>
        </w:rPr>
        <w:t>directly—streamlining</w:t>
      </w:r>
      <w:proofErr w:type="gramEnd"/>
      <w:r w:rsidRPr="009206BA">
        <w:rPr>
          <w:szCs w:val="20"/>
        </w:rPr>
        <w:t xml:space="preserve"> simple administrative tasks without changing oversight or control by ISMs or leadership.</w:t>
      </w:r>
      <w:r>
        <w:rPr>
          <w:szCs w:val="20"/>
        </w:rPr>
        <w:t xml:space="preserve"> </w:t>
      </w:r>
      <w:r w:rsidRPr="009206BA">
        <w:rPr>
          <w:szCs w:val="20"/>
        </w:rPr>
        <w:t>This model supports thousands of concurrent vendor tenants and provides a scalable path toward future API connectivity. The result is stronger collaboration, faster issue resolution, and smoother onboarding of new vendor partners—reducing friction so ISMs can focus on substantive planning conversations rather than routine data delivery.</w:t>
      </w:r>
    </w:p>
    <w:p w14:paraId="318474D2" w14:textId="4C131C42" w:rsidR="009206BA" w:rsidRPr="009206BA" w:rsidRDefault="009206BA" w:rsidP="009206BA">
      <w:pPr>
        <w:spacing w:line="240" w:lineRule="auto"/>
        <w:rPr>
          <w:szCs w:val="20"/>
        </w:rPr>
      </w:pPr>
      <w:r w:rsidRPr="009206BA">
        <w:rPr>
          <w:szCs w:val="20"/>
        </w:rPr>
        <w:t>3. Enterprise Data Alignment and Future Readiness</w:t>
      </w:r>
    </w:p>
    <w:p w14:paraId="1D012DBB" w14:textId="77CF525E" w:rsidR="009206BA" w:rsidRPr="009206BA" w:rsidRDefault="009206BA" w:rsidP="009206BA">
      <w:pPr>
        <w:spacing w:line="240" w:lineRule="auto"/>
        <w:rPr>
          <w:szCs w:val="20"/>
        </w:rPr>
      </w:pPr>
      <w:r w:rsidRPr="009206BA">
        <w:rPr>
          <w:szCs w:val="20"/>
        </w:rPr>
        <w:t>The platform establishes a single governed source of CPFR data shared across CPFR, VC, Merch, and related teams. Standardized definitions and lineage reduce planning risk and eliminate conflicting extracts. Daily immutable snapshots ensure consistency, auditability, and historical traceability.</w:t>
      </w:r>
      <w:r w:rsidR="000D00FC">
        <w:rPr>
          <w:szCs w:val="20"/>
        </w:rPr>
        <w:t xml:space="preserve"> To support additions or updates to collaborative data, changes can be </w:t>
      </w:r>
      <w:proofErr w:type="gramStart"/>
      <w:r w:rsidR="000D00FC">
        <w:rPr>
          <w:szCs w:val="20"/>
        </w:rPr>
        <w:t>made  at</w:t>
      </w:r>
      <w:proofErr w:type="gramEnd"/>
      <w:r w:rsidR="000D00FC">
        <w:rPr>
          <w:szCs w:val="20"/>
        </w:rPr>
        <w:t xml:space="preserve"> the single source, flowing immediately and uniformly to all users. </w:t>
      </w:r>
      <w:r w:rsidRPr="009206BA">
        <w:rPr>
          <w:szCs w:val="20"/>
        </w:rPr>
        <w:t>The structured design</w:t>
      </w:r>
      <w:r w:rsidR="000D00FC">
        <w:rPr>
          <w:szCs w:val="20"/>
        </w:rPr>
        <w:t xml:space="preserve"> also</w:t>
      </w:r>
      <w:r w:rsidRPr="009206BA">
        <w:rPr>
          <w:szCs w:val="20"/>
        </w:rPr>
        <w:t xml:space="preserve"> lays the groundwork </w:t>
      </w:r>
      <w:r w:rsidRPr="009206BA">
        <w:rPr>
          <w:szCs w:val="20"/>
        </w:rPr>
        <w:lastRenderedPageBreak/>
        <w:t xml:space="preserve">for advanced analytics, machine learning, and AI-driven automation, minimizing the preparation traditionally required. What began as operational reporting </w:t>
      </w:r>
      <w:proofErr w:type="gramStart"/>
      <w:r w:rsidRPr="009206BA">
        <w:rPr>
          <w:szCs w:val="20"/>
        </w:rPr>
        <w:t>becomes</w:t>
      </w:r>
      <w:proofErr w:type="gramEnd"/>
      <w:r w:rsidRPr="009206BA">
        <w:rPr>
          <w:szCs w:val="20"/>
        </w:rPr>
        <w:t xml:space="preserve"> a durable enterprise asset supporting Chewy’s digital evolution.</w:t>
      </w:r>
    </w:p>
    <w:p w14:paraId="3DDBDCCA" w14:textId="4E5F5E7E" w:rsidR="009206BA" w:rsidRPr="009206BA" w:rsidRDefault="009206BA" w:rsidP="009206BA">
      <w:pPr>
        <w:spacing w:line="240" w:lineRule="auto"/>
        <w:rPr>
          <w:szCs w:val="20"/>
        </w:rPr>
      </w:pPr>
      <w:r w:rsidRPr="009206BA">
        <w:rPr>
          <w:szCs w:val="20"/>
        </w:rPr>
        <w:t>4. Strategic Growth Enablement</w:t>
      </w:r>
    </w:p>
    <w:p w14:paraId="18CF104E" w14:textId="75E1E43B" w:rsidR="009206BA" w:rsidRPr="009206BA" w:rsidRDefault="009206BA" w:rsidP="009206BA">
      <w:pPr>
        <w:spacing w:line="240" w:lineRule="auto"/>
        <w:rPr>
          <w:szCs w:val="20"/>
        </w:rPr>
      </w:pPr>
      <w:r w:rsidRPr="009206BA">
        <w:rPr>
          <w:szCs w:val="20"/>
        </w:rPr>
        <w:t>By combining broad vendor access with governed data consistency, Chewy extends data-driven collaboration across its entire vendor network while maintaining VDS’s role for advanced analytics. The same architecture can readily expand to include Vendor Compliance (VC) and related datasets, providing a unified environment for vendor-specific information.</w:t>
      </w:r>
      <w:r>
        <w:rPr>
          <w:szCs w:val="20"/>
        </w:rPr>
        <w:t xml:space="preserve"> </w:t>
      </w:r>
      <w:r w:rsidRPr="009206BA">
        <w:rPr>
          <w:szCs w:val="20"/>
        </w:rPr>
        <w:t xml:space="preserve">This shared platform reduces duplication, simplifies vendor engagement, and establishes a foundation for future cross-program dashboards and enterprise-wide visibility. </w:t>
      </w:r>
    </w:p>
    <w:p w14:paraId="033DD847" w14:textId="5495FB1B" w:rsidR="00EB609A" w:rsidRPr="009206BA" w:rsidRDefault="00D46C6F" w:rsidP="009206BA">
      <w:pPr>
        <w:pStyle w:val="Heading1"/>
      </w:pPr>
      <w:r w:rsidRPr="009206BA">
        <w:t xml:space="preserve">[WIP] </w:t>
      </w:r>
      <w:r w:rsidR="00EB609A" w:rsidRPr="009206BA">
        <w:t>Quantitative Snapshot</w:t>
      </w:r>
    </w:p>
    <w:tbl>
      <w:tblPr>
        <w:tblW w:w="0" w:type="auto"/>
        <w:tblCellSpacing w:w="15" w:type="dxa"/>
        <w:tblLayout w:type="fixed"/>
        <w:tblCellMar>
          <w:left w:w="29" w:type="dxa"/>
          <w:right w:w="15" w:type="dxa"/>
        </w:tblCellMar>
        <w:tblLook w:val="04A0" w:firstRow="1" w:lastRow="0" w:firstColumn="1" w:lastColumn="0" w:noHBand="0" w:noVBand="1"/>
      </w:tblPr>
      <w:tblGrid>
        <w:gridCol w:w="2690"/>
        <w:gridCol w:w="3380"/>
        <w:gridCol w:w="1846"/>
        <w:gridCol w:w="2884"/>
      </w:tblGrid>
      <w:tr w:rsidR="00EB609A" w:rsidRPr="00EB609A" w14:paraId="1157B756" w14:textId="77777777" w:rsidTr="00F3243C">
        <w:trPr>
          <w:tblHeader/>
          <w:tblCellSpacing w:w="15" w:type="dxa"/>
        </w:trPr>
        <w:tc>
          <w:tcPr>
            <w:tcW w:w="2645" w:type="dxa"/>
            <w:shd w:val="clear" w:color="auto" w:fill="4C94D8" w:themeFill="text2" w:themeFillTint="80"/>
            <w:vAlign w:val="center"/>
            <w:hideMark/>
          </w:tcPr>
          <w:p w14:paraId="769ECC6B"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Benefit Category</w:t>
            </w:r>
          </w:p>
        </w:tc>
        <w:tc>
          <w:tcPr>
            <w:tcW w:w="3350" w:type="dxa"/>
            <w:shd w:val="clear" w:color="auto" w:fill="4C94D8" w:themeFill="text2" w:themeFillTint="80"/>
            <w:vAlign w:val="center"/>
            <w:hideMark/>
          </w:tcPr>
          <w:p w14:paraId="451520A8"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Estimation Basis</w:t>
            </w:r>
          </w:p>
        </w:tc>
        <w:tc>
          <w:tcPr>
            <w:tcW w:w="1816" w:type="dxa"/>
            <w:shd w:val="clear" w:color="auto" w:fill="4C94D8" w:themeFill="text2" w:themeFillTint="80"/>
            <w:vAlign w:val="center"/>
            <w:hideMark/>
          </w:tcPr>
          <w:p w14:paraId="56929A48" w14:textId="74D76B91" w:rsidR="00EB609A" w:rsidRPr="00EB609A" w:rsidRDefault="00F3243C" w:rsidP="003C6BE6">
            <w:pPr>
              <w:spacing w:after="60"/>
              <w:rPr>
                <w:b/>
                <w:bCs/>
                <w:color w:val="FFFFFF" w:themeColor="background1"/>
                <w:szCs w:val="20"/>
              </w:rPr>
            </w:pPr>
            <w:r w:rsidRPr="00F3243C">
              <w:rPr>
                <w:b/>
                <w:bCs/>
                <w:color w:val="FFFFFF" w:themeColor="background1"/>
                <w:szCs w:val="20"/>
              </w:rPr>
              <w:t xml:space="preserve">Appx. </w:t>
            </w:r>
            <w:r w:rsidR="00EB609A" w:rsidRPr="00EB609A">
              <w:rPr>
                <w:b/>
                <w:bCs/>
                <w:color w:val="FFFFFF" w:themeColor="background1"/>
                <w:szCs w:val="20"/>
              </w:rPr>
              <w:t>1st-Yr Value</w:t>
            </w:r>
          </w:p>
        </w:tc>
        <w:tc>
          <w:tcPr>
            <w:tcW w:w="2839" w:type="dxa"/>
            <w:shd w:val="clear" w:color="auto" w:fill="4C94D8" w:themeFill="text2" w:themeFillTint="80"/>
            <w:vAlign w:val="center"/>
            <w:hideMark/>
          </w:tcPr>
          <w:p w14:paraId="5135A069" w14:textId="6F60E7BC" w:rsidR="00EB609A" w:rsidRPr="00EB609A" w:rsidRDefault="00EB609A" w:rsidP="003C6BE6">
            <w:pPr>
              <w:spacing w:after="60"/>
              <w:rPr>
                <w:b/>
                <w:bCs/>
                <w:color w:val="FFFFFF" w:themeColor="background1"/>
                <w:szCs w:val="20"/>
              </w:rPr>
            </w:pPr>
            <w:r w:rsidRPr="00EB609A">
              <w:rPr>
                <w:b/>
                <w:bCs/>
                <w:color w:val="FFFFFF" w:themeColor="background1"/>
                <w:szCs w:val="20"/>
              </w:rPr>
              <w:t>Key Assumption</w:t>
            </w:r>
            <w:r w:rsidR="00F3243C">
              <w:rPr>
                <w:b/>
                <w:bCs/>
                <w:color w:val="FFFFFF" w:themeColor="background1"/>
                <w:szCs w:val="20"/>
              </w:rPr>
              <w:t>(s)</w:t>
            </w:r>
          </w:p>
        </w:tc>
      </w:tr>
      <w:tr w:rsidR="00EB609A" w:rsidRPr="00EB609A" w14:paraId="07F39D83" w14:textId="77777777" w:rsidTr="00F755E2">
        <w:trPr>
          <w:tblCellSpacing w:w="15" w:type="dxa"/>
        </w:trPr>
        <w:tc>
          <w:tcPr>
            <w:tcW w:w="2645" w:type="dxa"/>
            <w:tcBorders>
              <w:bottom w:val="dotted" w:sz="4" w:space="0" w:color="0070C0"/>
            </w:tcBorders>
            <w:hideMark/>
          </w:tcPr>
          <w:p w14:paraId="6D2113E3" w14:textId="77777777" w:rsidR="00EB609A" w:rsidRPr="00EB609A" w:rsidRDefault="00EB609A" w:rsidP="003C6BE6">
            <w:pPr>
              <w:spacing w:after="0"/>
              <w:rPr>
                <w:szCs w:val="20"/>
              </w:rPr>
            </w:pPr>
            <w:r w:rsidRPr="00EB609A">
              <w:rPr>
                <w:szCs w:val="20"/>
              </w:rPr>
              <w:t>Operational Cohesion &amp; Efficiency</w:t>
            </w:r>
          </w:p>
        </w:tc>
        <w:tc>
          <w:tcPr>
            <w:tcW w:w="3350" w:type="dxa"/>
            <w:tcBorders>
              <w:bottom w:val="dotted" w:sz="4" w:space="0" w:color="0070C0"/>
            </w:tcBorders>
            <w:hideMark/>
          </w:tcPr>
          <w:p w14:paraId="2904EDC4" w14:textId="45029AD0" w:rsidR="00EB609A" w:rsidRPr="00EB609A" w:rsidRDefault="004120ED" w:rsidP="003C6BE6">
            <w:pPr>
              <w:spacing w:after="0"/>
              <w:rPr>
                <w:szCs w:val="20"/>
              </w:rPr>
            </w:pPr>
            <w:r>
              <w:rPr>
                <w:szCs w:val="20"/>
              </w:rPr>
              <w:t>36</w:t>
            </w:r>
            <w:r w:rsidR="00EB609A" w:rsidRPr="00EB609A">
              <w:rPr>
                <w:szCs w:val="20"/>
              </w:rPr>
              <w:t xml:space="preserve"> team members × </w:t>
            </w:r>
            <w:r>
              <w:rPr>
                <w:szCs w:val="20"/>
              </w:rPr>
              <w:t>2</w:t>
            </w:r>
            <w:r w:rsidR="00EB609A" w:rsidRPr="00EB609A">
              <w:rPr>
                <w:szCs w:val="20"/>
              </w:rPr>
              <w:t xml:space="preserve"> h</w:t>
            </w:r>
            <w:r w:rsidR="00FB2CDB">
              <w:rPr>
                <w:szCs w:val="20"/>
              </w:rPr>
              <w:t>ou</w:t>
            </w:r>
            <w:r w:rsidR="00EB609A" w:rsidRPr="00EB609A">
              <w:rPr>
                <w:szCs w:val="20"/>
              </w:rPr>
              <w:t>rs/week reallocated to higher-value work</w:t>
            </w:r>
          </w:p>
        </w:tc>
        <w:tc>
          <w:tcPr>
            <w:tcW w:w="1816" w:type="dxa"/>
            <w:tcBorders>
              <w:bottom w:val="dotted" w:sz="4" w:space="0" w:color="0070C0"/>
            </w:tcBorders>
            <w:hideMark/>
          </w:tcPr>
          <w:p w14:paraId="3D224D3F" w14:textId="1352BE0D" w:rsidR="00EB609A" w:rsidRPr="00EB609A" w:rsidRDefault="00EB609A" w:rsidP="003C6BE6">
            <w:pPr>
              <w:spacing w:after="0"/>
              <w:rPr>
                <w:szCs w:val="20"/>
              </w:rPr>
            </w:pPr>
            <w:r w:rsidRPr="00EB609A">
              <w:rPr>
                <w:b/>
                <w:bCs/>
                <w:szCs w:val="20"/>
              </w:rPr>
              <w:t>$ 6</w:t>
            </w:r>
            <w:r w:rsidR="0017095A">
              <w:rPr>
                <w:b/>
                <w:bCs/>
                <w:szCs w:val="20"/>
              </w:rPr>
              <w:t>08</w:t>
            </w:r>
            <w:r w:rsidRPr="00EB609A">
              <w:rPr>
                <w:b/>
                <w:bCs/>
                <w:szCs w:val="20"/>
              </w:rPr>
              <w:t xml:space="preserve"> k</w:t>
            </w:r>
          </w:p>
        </w:tc>
        <w:tc>
          <w:tcPr>
            <w:tcW w:w="2839" w:type="dxa"/>
            <w:tcBorders>
              <w:bottom w:val="dotted" w:sz="4" w:space="0" w:color="0070C0"/>
            </w:tcBorders>
            <w:hideMark/>
          </w:tcPr>
          <w:p w14:paraId="67FA49F1" w14:textId="77777777" w:rsidR="00EB609A" w:rsidRPr="00EB609A" w:rsidRDefault="00EB609A" w:rsidP="003C6BE6">
            <w:pPr>
              <w:spacing w:after="0"/>
              <w:rPr>
                <w:szCs w:val="20"/>
              </w:rPr>
            </w:pPr>
            <w:r w:rsidRPr="00EB609A">
              <w:rPr>
                <w:szCs w:val="20"/>
              </w:rPr>
              <w:t>Capacity redirected from manual prep to analysis</w:t>
            </w:r>
          </w:p>
        </w:tc>
      </w:tr>
      <w:tr w:rsidR="00EB609A" w:rsidRPr="00EB609A" w14:paraId="79ACD1F8" w14:textId="77777777" w:rsidTr="00F755E2">
        <w:trPr>
          <w:tblCellSpacing w:w="15" w:type="dxa"/>
        </w:trPr>
        <w:tc>
          <w:tcPr>
            <w:tcW w:w="2645" w:type="dxa"/>
            <w:tcBorders>
              <w:top w:val="dotted" w:sz="4" w:space="0" w:color="0070C0"/>
              <w:bottom w:val="dotted" w:sz="4" w:space="0" w:color="0070C0"/>
            </w:tcBorders>
            <w:hideMark/>
          </w:tcPr>
          <w:p w14:paraId="27EE60D7" w14:textId="77777777" w:rsidR="00EB609A" w:rsidRPr="00EB609A" w:rsidRDefault="00EB609A" w:rsidP="003C6BE6">
            <w:pPr>
              <w:spacing w:after="0"/>
              <w:rPr>
                <w:szCs w:val="20"/>
              </w:rPr>
            </w:pPr>
            <w:r w:rsidRPr="00EB609A">
              <w:rPr>
                <w:szCs w:val="20"/>
              </w:rPr>
              <w:t>Vendor Enablement &amp; Partnership Expansion</w:t>
            </w:r>
          </w:p>
        </w:tc>
        <w:tc>
          <w:tcPr>
            <w:tcW w:w="3350" w:type="dxa"/>
            <w:tcBorders>
              <w:top w:val="dotted" w:sz="4" w:space="0" w:color="0070C0"/>
              <w:bottom w:val="dotted" w:sz="4" w:space="0" w:color="0070C0"/>
            </w:tcBorders>
            <w:hideMark/>
          </w:tcPr>
          <w:p w14:paraId="7F05DF0F" w14:textId="77777777" w:rsidR="00EB609A" w:rsidRPr="00EB609A" w:rsidRDefault="00EB609A" w:rsidP="003C6BE6">
            <w:pPr>
              <w:spacing w:after="0"/>
              <w:rPr>
                <w:szCs w:val="20"/>
              </w:rPr>
            </w:pPr>
            <w:r w:rsidRPr="00EB609A">
              <w:rPr>
                <w:szCs w:val="20"/>
              </w:rPr>
              <w:t>2,350 vendors × avg $ 300 value / vendor</w:t>
            </w:r>
          </w:p>
        </w:tc>
        <w:tc>
          <w:tcPr>
            <w:tcW w:w="1816" w:type="dxa"/>
            <w:tcBorders>
              <w:top w:val="dotted" w:sz="4" w:space="0" w:color="0070C0"/>
              <w:bottom w:val="dotted" w:sz="4" w:space="0" w:color="0070C0"/>
            </w:tcBorders>
            <w:hideMark/>
          </w:tcPr>
          <w:p w14:paraId="1F4B432E" w14:textId="341CF5F6" w:rsidR="00EB609A" w:rsidRPr="00EB609A" w:rsidRDefault="00EB609A" w:rsidP="003C6BE6">
            <w:pPr>
              <w:spacing w:after="0"/>
              <w:rPr>
                <w:szCs w:val="20"/>
              </w:rPr>
            </w:pPr>
            <w:r w:rsidRPr="00EB609A">
              <w:rPr>
                <w:b/>
                <w:bCs/>
                <w:szCs w:val="20"/>
              </w:rPr>
              <w:t>$ 7</w:t>
            </w:r>
            <w:r w:rsidR="006C78CF">
              <w:rPr>
                <w:b/>
                <w:bCs/>
                <w:szCs w:val="20"/>
              </w:rPr>
              <w:t>06</w:t>
            </w:r>
            <w:r w:rsidRPr="00EB609A">
              <w:rPr>
                <w:b/>
                <w:bCs/>
                <w:szCs w:val="20"/>
              </w:rPr>
              <w:t xml:space="preserve"> k</w:t>
            </w:r>
          </w:p>
        </w:tc>
        <w:tc>
          <w:tcPr>
            <w:tcW w:w="2839" w:type="dxa"/>
            <w:tcBorders>
              <w:top w:val="dotted" w:sz="4" w:space="0" w:color="0070C0"/>
              <w:bottom w:val="dotted" w:sz="4" w:space="0" w:color="0070C0"/>
            </w:tcBorders>
            <w:hideMark/>
          </w:tcPr>
          <w:p w14:paraId="255CF196" w14:textId="77777777" w:rsidR="00EB609A" w:rsidRPr="00EB609A" w:rsidRDefault="00EB609A" w:rsidP="003C6BE6">
            <w:pPr>
              <w:spacing w:after="0"/>
              <w:rPr>
                <w:szCs w:val="20"/>
              </w:rPr>
            </w:pPr>
            <w:r w:rsidRPr="00EB609A">
              <w:rPr>
                <w:szCs w:val="20"/>
              </w:rPr>
              <w:t>Faster vendor decisions, reduced friction</w:t>
            </w:r>
          </w:p>
        </w:tc>
      </w:tr>
      <w:tr w:rsidR="00EB609A" w:rsidRPr="00EB609A" w14:paraId="2C5B02D7" w14:textId="77777777" w:rsidTr="00F755E2">
        <w:trPr>
          <w:tblCellSpacing w:w="15" w:type="dxa"/>
        </w:trPr>
        <w:tc>
          <w:tcPr>
            <w:tcW w:w="2645" w:type="dxa"/>
            <w:tcBorders>
              <w:top w:val="dotted" w:sz="4" w:space="0" w:color="0070C0"/>
              <w:bottom w:val="dotted" w:sz="4" w:space="0" w:color="0070C0"/>
            </w:tcBorders>
            <w:hideMark/>
          </w:tcPr>
          <w:p w14:paraId="7600060F" w14:textId="77777777" w:rsidR="00EB609A" w:rsidRPr="00EB609A" w:rsidRDefault="00EB609A" w:rsidP="003C6BE6">
            <w:pPr>
              <w:spacing w:after="0"/>
              <w:rPr>
                <w:szCs w:val="20"/>
              </w:rPr>
            </w:pPr>
            <w:r w:rsidRPr="00EB609A">
              <w:rPr>
                <w:szCs w:val="20"/>
              </w:rPr>
              <w:t>Enterprise Data Alignment &amp; Future Readiness</w:t>
            </w:r>
          </w:p>
        </w:tc>
        <w:tc>
          <w:tcPr>
            <w:tcW w:w="3350" w:type="dxa"/>
            <w:tcBorders>
              <w:top w:val="dotted" w:sz="4" w:space="0" w:color="0070C0"/>
              <w:bottom w:val="dotted" w:sz="4" w:space="0" w:color="0070C0"/>
            </w:tcBorders>
            <w:hideMark/>
          </w:tcPr>
          <w:p w14:paraId="79F56E19" w14:textId="32FA7280" w:rsidR="00EB609A" w:rsidRPr="00EB609A" w:rsidRDefault="00EB609A" w:rsidP="003C6BE6">
            <w:pPr>
              <w:spacing w:after="0"/>
              <w:rPr>
                <w:szCs w:val="20"/>
              </w:rPr>
            </w:pPr>
            <w:r w:rsidRPr="00EB609A">
              <w:rPr>
                <w:szCs w:val="20"/>
              </w:rPr>
              <w:t xml:space="preserve">Fewer data inconsistencies </w:t>
            </w:r>
            <w:r w:rsidR="00F755E2">
              <w:rPr>
                <w:szCs w:val="20"/>
              </w:rPr>
              <w:t>&amp;</w:t>
            </w:r>
            <w:r w:rsidRPr="00EB609A">
              <w:rPr>
                <w:szCs w:val="20"/>
              </w:rPr>
              <w:t xml:space="preserve"> rework</w:t>
            </w:r>
          </w:p>
        </w:tc>
        <w:tc>
          <w:tcPr>
            <w:tcW w:w="1816" w:type="dxa"/>
            <w:tcBorders>
              <w:top w:val="dotted" w:sz="4" w:space="0" w:color="0070C0"/>
              <w:bottom w:val="dotted" w:sz="4" w:space="0" w:color="0070C0"/>
            </w:tcBorders>
            <w:hideMark/>
          </w:tcPr>
          <w:p w14:paraId="578DB0A3" w14:textId="25E95E6C" w:rsidR="00EB609A" w:rsidRPr="00EB609A" w:rsidRDefault="00EB609A" w:rsidP="003C6BE6">
            <w:pPr>
              <w:spacing w:after="0"/>
              <w:rPr>
                <w:szCs w:val="20"/>
              </w:rPr>
            </w:pPr>
            <w:r w:rsidRPr="00EB609A">
              <w:rPr>
                <w:b/>
                <w:bCs/>
                <w:szCs w:val="20"/>
              </w:rPr>
              <w:t xml:space="preserve">$ </w:t>
            </w:r>
            <w:r w:rsidR="002565C9">
              <w:rPr>
                <w:b/>
                <w:bCs/>
                <w:szCs w:val="20"/>
              </w:rPr>
              <w:t>375</w:t>
            </w:r>
            <w:r w:rsidRPr="00EB609A">
              <w:rPr>
                <w:b/>
                <w:bCs/>
                <w:szCs w:val="20"/>
              </w:rPr>
              <w:t xml:space="preserve"> k</w:t>
            </w:r>
          </w:p>
        </w:tc>
        <w:tc>
          <w:tcPr>
            <w:tcW w:w="2839" w:type="dxa"/>
            <w:tcBorders>
              <w:top w:val="dotted" w:sz="4" w:space="0" w:color="0070C0"/>
              <w:bottom w:val="dotted" w:sz="4" w:space="0" w:color="0070C0"/>
            </w:tcBorders>
            <w:hideMark/>
          </w:tcPr>
          <w:p w14:paraId="71BE4B48" w14:textId="77777777" w:rsidR="00EB609A" w:rsidRPr="00EB609A" w:rsidRDefault="00EB609A" w:rsidP="003C6BE6">
            <w:pPr>
              <w:spacing w:after="0"/>
              <w:rPr>
                <w:szCs w:val="20"/>
              </w:rPr>
            </w:pPr>
            <w:r w:rsidRPr="00EB609A">
              <w:rPr>
                <w:szCs w:val="20"/>
              </w:rPr>
              <w:t>Improved accuracy across teams</w:t>
            </w:r>
          </w:p>
        </w:tc>
      </w:tr>
      <w:tr w:rsidR="00F755E2" w:rsidRPr="00EB609A" w14:paraId="664A7250" w14:textId="77777777" w:rsidTr="00F755E2">
        <w:trPr>
          <w:tblCellSpacing w:w="15" w:type="dxa"/>
        </w:trPr>
        <w:tc>
          <w:tcPr>
            <w:tcW w:w="2645" w:type="dxa"/>
            <w:tcBorders>
              <w:top w:val="dotted" w:sz="4" w:space="0" w:color="0070C0"/>
            </w:tcBorders>
            <w:hideMark/>
          </w:tcPr>
          <w:p w14:paraId="3A88CB59" w14:textId="77777777" w:rsidR="00EB609A" w:rsidRPr="002565C9" w:rsidRDefault="00EB609A" w:rsidP="003C6BE6">
            <w:pPr>
              <w:spacing w:after="0"/>
              <w:rPr>
                <w:i/>
                <w:iCs/>
                <w:color w:val="7F7F7F" w:themeColor="text1" w:themeTint="80"/>
                <w:szCs w:val="20"/>
              </w:rPr>
            </w:pPr>
            <w:r w:rsidRPr="002565C9">
              <w:rPr>
                <w:i/>
                <w:iCs/>
                <w:color w:val="7F7F7F" w:themeColor="text1" w:themeTint="80"/>
                <w:szCs w:val="20"/>
              </w:rPr>
              <w:t>Strategic Growth Enablement</w:t>
            </w:r>
          </w:p>
        </w:tc>
        <w:tc>
          <w:tcPr>
            <w:tcW w:w="3350" w:type="dxa"/>
            <w:tcBorders>
              <w:top w:val="dotted" w:sz="4" w:space="0" w:color="0070C0"/>
            </w:tcBorders>
            <w:hideMark/>
          </w:tcPr>
          <w:p w14:paraId="2CEDD59F" w14:textId="77777777" w:rsidR="00EB609A" w:rsidRPr="002565C9" w:rsidRDefault="00EB609A" w:rsidP="003C6BE6">
            <w:pPr>
              <w:spacing w:after="0"/>
              <w:rPr>
                <w:i/>
                <w:iCs/>
                <w:color w:val="7F7F7F" w:themeColor="text1" w:themeTint="80"/>
                <w:szCs w:val="20"/>
              </w:rPr>
            </w:pPr>
            <w:r w:rsidRPr="002565C9">
              <w:rPr>
                <w:i/>
                <w:iCs/>
                <w:color w:val="7F7F7F" w:themeColor="text1" w:themeTint="80"/>
                <w:szCs w:val="20"/>
              </w:rPr>
              <w:t>Synergy benefits and shared infrastructure reuse</w:t>
            </w:r>
          </w:p>
        </w:tc>
        <w:tc>
          <w:tcPr>
            <w:tcW w:w="1816" w:type="dxa"/>
            <w:tcBorders>
              <w:top w:val="dotted" w:sz="4" w:space="0" w:color="0070C0"/>
              <w:bottom w:val="double" w:sz="4" w:space="0" w:color="0070C0"/>
            </w:tcBorders>
            <w:hideMark/>
          </w:tcPr>
          <w:p w14:paraId="3B2908C2" w14:textId="11A1EC14" w:rsidR="00EB609A" w:rsidRPr="002565C9" w:rsidRDefault="00EB609A" w:rsidP="003C6BE6">
            <w:pPr>
              <w:spacing w:after="0"/>
              <w:rPr>
                <w:b/>
                <w:bCs/>
                <w:i/>
                <w:iCs/>
                <w:color w:val="7F7F7F" w:themeColor="text1" w:themeTint="80"/>
                <w:szCs w:val="20"/>
              </w:rPr>
            </w:pPr>
            <w:r w:rsidRPr="002565C9">
              <w:rPr>
                <w:b/>
                <w:bCs/>
                <w:i/>
                <w:iCs/>
                <w:color w:val="7F7F7F" w:themeColor="text1" w:themeTint="80"/>
                <w:szCs w:val="20"/>
              </w:rPr>
              <w:t>$ 6</w:t>
            </w:r>
            <w:r w:rsidR="00413C4B" w:rsidRPr="002565C9">
              <w:rPr>
                <w:b/>
                <w:bCs/>
                <w:i/>
                <w:iCs/>
                <w:color w:val="7F7F7F" w:themeColor="text1" w:themeTint="80"/>
                <w:szCs w:val="20"/>
              </w:rPr>
              <w:t>2</w:t>
            </w:r>
            <w:r w:rsidRPr="002565C9">
              <w:rPr>
                <w:b/>
                <w:bCs/>
                <w:i/>
                <w:iCs/>
                <w:color w:val="7F7F7F" w:themeColor="text1" w:themeTint="80"/>
                <w:szCs w:val="20"/>
              </w:rPr>
              <w:t>5 k</w:t>
            </w:r>
            <w:r w:rsidR="002565C9">
              <w:rPr>
                <w:b/>
                <w:bCs/>
                <w:i/>
                <w:iCs/>
                <w:color w:val="7F7F7F" w:themeColor="text1" w:themeTint="80"/>
                <w:szCs w:val="20"/>
              </w:rPr>
              <w:t>*</w:t>
            </w:r>
          </w:p>
        </w:tc>
        <w:tc>
          <w:tcPr>
            <w:tcW w:w="2839" w:type="dxa"/>
            <w:tcBorders>
              <w:top w:val="dotted" w:sz="4" w:space="0" w:color="0070C0"/>
              <w:bottom w:val="double" w:sz="4" w:space="0" w:color="0070C0"/>
            </w:tcBorders>
            <w:hideMark/>
          </w:tcPr>
          <w:p w14:paraId="3041C5B5" w14:textId="77777777" w:rsidR="00EB609A" w:rsidRPr="002565C9" w:rsidRDefault="00EB609A" w:rsidP="003C6BE6">
            <w:pPr>
              <w:spacing w:after="0"/>
              <w:rPr>
                <w:i/>
                <w:iCs/>
                <w:color w:val="7F7F7F" w:themeColor="text1" w:themeTint="80"/>
                <w:szCs w:val="20"/>
              </w:rPr>
            </w:pPr>
            <w:r w:rsidRPr="002565C9">
              <w:rPr>
                <w:i/>
                <w:iCs/>
                <w:color w:val="7F7F7F" w:themeColor="text1" w:themeTint="80"/>
                <w:szCs w:val="20"/>
              </w:rPr>
              <w:t>Multi-program applicability</w:t>
            </w:r>
          </w:p>
        </w:tc>
      </w:tr>
      <w:tr w:rsidR="00EB609A" w:rsidRPr="00EB609A" w14:paraId="78093609" w14:textId="77777777" w:rsidTr="00F3243C">
        <w:trPr>
          <w:trHeight w:val="288"/>
          <w:tblCellSpacing w:w="15" w:type="dxa"/>
        </w:trPr>
        <w:tc>
          <w:tcPr>
            <w:tcW w:w="2645" w:type="dxa"/>
            <w:vAlign w:val="center"/>
            <w:hideMark/>
          </w:tcPr>
          <w:p w14:paraId="511064CB" w14:textId="0529FE10" w:rsidR="00EB609A" w:rsidRPr="00EB609A" w:rsidRDefault="00EB609A" w:rsidP="003C6BE6">
            <w:pPr>
              <w:spacing w:after="0"/>
              <w:rPr>
                <w:szCs w:val="20"/>
              </w:rPr>
            </w:pPr>
          </w:p>
        </w:tc>
        <w:tc>
          <w:tcPr>
            <w:tcW w:w="3350" w:type="dxa"/>
            <w:vAlign w:val="center"/>
            <w:hideMark/>
          </w:tcPr>
          <w:p w14:paraId="7CF791A4" w14:textId="603166F5" w:rsidR="00EB609A" w:rsidRPr="00EB609A" w:rsidRDefault="00F755E2" w:rsidP="003C6BE6">
            <w:pPr>
              <w:spacing w:after="60"/>
              <w:rPr>
                <w:i/>
                <w:iCs/>
                <w:szCs w:val="20"/>
              </w:rPr>
            </w:pPr>
            <w:r w:rsidRPr="00EB609A">
              <w:rPr>
                <w:b/>
                <w:bCs/>
                <w:i/>
                <w:iCs/>
                <w:szCs w:val="20"/>
              </w:rPr>
              <w:t>Total Conservative Estimate</w:t>
            </w:r>
          </w:p>
        </w:tc>
        <w:tc>
          <w:tcPr>
            <w:tcW w:w="1816" w:type="dxa"/>
            <w:vAlign w:val="center"/>
            <w:hideMark/>
          </w:tcPr>
          <w:p w14:paraId="409B2EDF" w14:textId="741AC9A4" w:rsidR="00EB609A" w:rsidRPr="00EB609A" w:rsidRDefault="00EB609A" w:rsidP="003C6BE6">
            <w:pPr>
              <w:spacing w:after="0"/>
              <w:rPr>
                <w:i/>
                <w:iCs/>
                <w:szCs w:val="20"/>
              </w:rPr>
            </w:pPr>
            <w:r w:rsidRPr="00EB609A">
              <w:rPr>
                <w:b/>
                <w:bCs/>
                <w:i/>
                <w:iCs/>
                <w:szCs w:val="20"/>
              </w:rPr>
              <w:t xml:space="preserve">≈ $ </w:t>
            </w:r>
            <w:r w:rsidR="002565C9">
              <w:rPr>
                <w:b/>
                <w:bCs/>
                <w:i/>
                <w:iCs/>
                <w:szCs w:val="20"/>
              </w:rPr>
              <w:t>1.7</w:t>
            </w:r>
            <w:r w:rsidRPr="00EB609A">
              <w:rPr>
                <w:b/>
                <w:bCs/>
                <w:i/>
                <w:iCs/>
                <w:szCs w:val="20"/>
              </w:rPr>
              <w:t xml:space="preserve"> M per year</w:t>
            </w:r>
          </w:p>
        </w:tc>
        <w:tc>
          <w:tcPr>
            <w:tcW w:w="2839" w:type="dxa"/>
            <w:vAlign w:val="center"/>
            <w:hideMark/>
          </w:tcPr>
          <w:p w14:paraId="1C62093D" w14:textId="09929F89" w:rsidR="00EB609A" w:rsidRPr="00EB609A" w:rsidRDefault="00EB609A" w:rsidP="003C6BE6">
            <w:pPr>
              <w:spacing w:after="0"/>
              <w:rPr>
                <w:i/>
                <w:iCs/>
                <w:szCs w:val="20"/>
              </w:rPr>
            </w:pPr>
            <w:r w:rsidRPr="00EB609A">
              <w:rPr>
                <w:i/>
                <w:iCs/>
                <w:szCs w:val="20"/>
              </w:rPr>
              <w:t>Recurring post-stabilization</w:t>
            </w:r>
          </w:p>
        </w:tc>
      </w:tr>
    </w:tbl>
    <w:p w14:paraId="62FB98DD" w14:textId="165ABE5F" w:rsidR="00EB609A" w:rsidRPr="002565C9" w:rsidRDefault="002565C9" w:rsidP="003C6BE6">
      <w:pPr>
        <w:spacing w:after="360"/>
        <w:jc w:val="right"/>
        <w:rPr>
          <w:i/>
          <w:iCs/>
          <w:sz w:val="18"/>
          <w:szCs w:val="18"/>
        </w:rPr>
      </w:pPr>
      <w:r w:rsidRPr="002565C9">
        <w:rPr>
          <w:sz w:val="18"/>
          <w:szCs w:val="18"/>
        </w:rPr>
        <w:tab/>
      </w:r>
      <w:r w:rsidRPr="002565C9">
        <w:rPr>
          <w:i/>
          <w:iCs/>
          <w:color w:val="7F7F7F" w:themeColor="text1" w:themeTint="80"/>
          <w:sz w:val="18"/>
          <w:szCs w:val="18"/>
        </w:rPr>
        <w:t xml:space="preserve">* </w:t>
      </w:r>
      <w:r w:rsidR="001F6A50">
        <w:rPr>
          <w:i/>
          <w:iCs/>
          <w:color w:val="7F7F7F" w:themeColor="text1" w:themeTint="80"/>
          <w:sz w:val="18"/>
          <w:szCs w:val="18"/>
        </w:rPr>
        <w:t>N</w:t>
      </w:r>
      <w:r w:rsidRPr="002565C9">
        <w:rPr>
          <w:i/>
          <w:iCs/>
          <w:color w:val="7F7F7F" w:themeColor="text1" w:themeTint="80"/>
          <w:sz w:val="18"/>
          <w:szCs w:val="18"/>
        </w:rPr>
        <w:t>ot included in current entitlement clai</w:t>
      </w:r>
      <w:r w:rsidR="001F6A50">
        <w:rPr>
          <w:i/>
          <w:iCs/>
          <w:color w:val="7F7F7F" w:themeColor="text1" w:themeTint="80"/>
          <w:sz w:val="18"/>
          <w:szCs w:val="18"/>
        </w:rPr>
        <w:t>m. T</w:t>
      </w:r>
      <w:r>
        <w:rPr>
          <w:i/>
          <w:iCs/>
          <w:color w:val="7F7F7F" w:themeColor="text1" w:themeTint="80"/>
          <w:sz w:val="18"/>
          <w:szCs w:val="18"/>
        </w:rPr>
        <w:t xml:space="preserve">his </w:t>
      </w:r>
      <w:r w:rsidR="001F6A50">
        <w:rPr>
          <w:i/>
          <w:iCs/>
          <w:color w:val="7F7F7F" w:themeColor="text1" w:themeTint="80"/>
          <w:sz w:val="18"/>
          <w:szCs w:val="18"/>
        </w:rPr>
        <w:t>represents value of road-mapped future phases of expansion</w:t>
      </w:r>
    </w:p>
    <w:p w14:paraId="69243764" w14:textId="77777777" w:rsidR="00EB609A" w:rsidRPr="00EB609A" w:rsidRDefault="00EB609A" w:rsidP="003C6BE6">
      <w:pPr>
        <w:pStyle w:val="Heading1"/>
      </w:pPr>
      <w:r w:rsidRPr="00EB609A">
        <w:t>Dependencies, Risks &amp;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7312"/>
      </w:tblGrid>
      <w:tr w:rsidR="00EB609A" w:rsidRPr="00EB609A" w14:paraId="13C58FE6" w14:textId="77777777" w:rsidTr="005372A4">
        <w:trPr>
          <w:tblHeader/>
          <w:tblCellSpacing w:w="15" w:type="dxa"/>
        </w:trPr>
        <w:tc>
          <w:tcPr>
            <w:tcW w:w="3015" w:type="dxa"/>
            <w:shd w:val="clear" w:color="auto" w:fill="4C94D8" w:themeFill="text2" w:themeFillTint="80"/>
            <w:vAlign w:val="center"/>
            <w:hideMark/>
          </w:tcPr>
          <w:p w14:paraId="2D6DE0C1"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Risk / Dependency</w:t>
            </w:r>
          </w:p>
        </w:tc>
        <w:tc>
          <w:tcPr>
            <w:tcW w:w="7267" w:type="dxa"/>
            <w:shd w:val="clear" w:color="auto" w:fill="4C94D8" w:themeFill="text2" w:themeFillTint="80"/>
            <w:vAlign w:val="center"/>
            <w:hideMark/>
          </w:tcPr>
          <w:p w14:paraId="6B541564"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Mitigation</w:t>
            </w:r>
          </w:p>
        </w:tc>
      </w:tr>
      <w:tr w:rsidR="00EB609A" w:rsidRPr="00EB609A" w14:paraId="6938F43E" w14:textId="77777777" w:rsidTr="005372A4">
        <w:trPr>
          <w:tblCellSpacing w:w="15" w:type="dxa"/>
        </w:trPr>
        <w:tc>
          <w:tcPr>
            <w:tcW w:w="3015" w:type="dxa"/>
            <w:tcBorders>
              <w:bottom w:val="dotted" w:sz="4" w:space="0" w:color="0070C0"/>
            </w:tcBorders>
            <w:vAlign w:val="center"/>
            <w:hideMark/>
          </w:tcPr>
          <w:p w14:paraId="1D2E13B1" w14:textId="77777777" w:rsidR="00EB609A" w:rsidRPr="00EB609A" w:rsidRDefault="00EB609A" w:rsidP="003C6BE6">
            <w:pPr>
              <w:spacing w:after="0"/>
              <w:rPr>
                <w:szCs w:val="20"/>
              </w:rPr>
            </w:pPr>
            <w:r w:rsidRPr="00EB609A">
              <w:rPr>
                <w:szCs w:val="20"/>
              </w:rPr>
              <w:t>Data consistency across systems</w:t>
            </w:r>
          </w:p>
        </w:tc>
        <w:tc>
          <w:tcPr>
            <w:tcW w:w="7267" w:type="dxa"/>
            <w:tcBorders>
              <w:bottom w:val="dotted" w:sz="4" w:space="0" w:color="0070C0"/>
            </w:tcBorders>
            <w:vAlign w:val="center"/>
            <w:hideMark/>
          </w:tcPr>
          <w:p w14:paraId="0BB63C6E" w14:textId="77777777" w:rsidR="00EB609A" w:rsidRPr="00EB609A" w:rsidRDefault="00EB609A" w:rsidP="003C6BE6">
            <w:pPr>
              <w:spacing w:after="0"/>
              <w:rPr>
                <w:szCs w:val="20"/>
              </w:rPr>
            </w:pPr>
            <w:r w:rsidRPr="00EB609A">
              <w:rPr>
                <w:szCs w:val="20"/>
              </w:rPr>
              <w:t>Centralized governance and shared change-management process</w:t>
            </w:r>
          </w:p>
        </w:tc>
      </w:tr>
      <w:tr w:rsidR="00EB609A" w:rsidRPr="00EB609A" w14:paraId="296B9153" w14:textId="77777777" w:rsidTr="005372A4">
        <w:trPr>
          <w:tblCellSpacing w:w="15" w:type="dxa"/>
        </w:trPr>
        <w:tc>
          <w:tcPr>
            <w:tcW w:w="3015" w:type="dxa"/>
            <w:tcBorders>
              <w:top w:val="dotted" w:sz="4" w:space="0" w:color="0070C0"/>
              <w:bottom w:val="dotted" w:sz="4" w:space="0" w:color="0070C0"/>
            </w:tcBorders>
            <w:vAlign w:val="center"/>
            <w:hideMark/>
          </w:tcPr>
          <w:p w14:paraId="48FED5C6" w14:textId="77777777" w:rsidR="00EB609A" w:rsidRPr="00EB609A" w:rsidRDefault="00EB609A" w:rsidP="003C6BE6">
            <w:pPr>
              <w:spacing w:after="0"/>
              <w:rPr>
                <w:szCs w:val="20"/>
              </w:rPr>
            </w:pPr>
            <w:r w:rsidRPr="00EB609A">
              <w:rPr>
                <w:szCs w:val="20"/>
              </w:rPr>
              <w:t>Vendor adoption of portal</w:t>
            </w:r>
          </w:p>
        </w:tc>
        <w:tc>
          <w:tcPr>
            <w:tcW w:w="7267" w:type="dxa"/>
            <w:tcBorders>
              <w:top w:val="dotted" w:sz="4" w:space="0" w:color="0070C0"/>
              <w:bottom w:val="dotted" w:sz="4" w:space="0" w:color="0070C0"/>
            </w:tcBorders>
            <w:vAlign w:val="center"/>
            <w:hideMark/>
          </w:tcPr>
          <w:p w14:paraId="735BF24E" w14:textId="77777777" w:rsidR="00EB609A" w:rsidRPr="00EB609A" w:rsidRDefault="00EB609A" w:rsidP="003C6BE6">
            <w:pPr>
              <w:spacing w:after="0"/>
              <w:rPr>
                <w:szCs w:val="20"/>
              </w:rPr>
            </w:pPr>
            <w:r w:rsidRPr="00EB609A">
              <w:rPr>
                <w:szCs w:val="20"/>
              </w:rPr>
              <w:t>Co-branded rollout with VC and Replen Tech; vendor education and support</w:t>
            </w:r>
          </w:p>
        </w:tc>
      </w:tr>
      <w:tr w:rsidR="00EB609A" w:rsidRPr="00EB609A" w14:paraId="7816875A" w14:textId="77777777" w:rsidTr="005372A4">
        <w:trPr>
          <w:tblCellSpacing w:w="15" w:type="dxa"/>
        </w:trPr>
        <w:tc>
          <w:tcPr>
            <w:tcW w:w="3015" w:type="dxa"/>
            <w:tcBorders>
              <w:top w:val="dotted" w:sz="4" w:space="0" w:color="0070C0"/>
              <w:bottom w:val="dotted" w:sz="4" w:space="0" w:color="0070C0"/>
            </w:tcBorders>
            <w:vAlign w:val="center"/>
            <w:hideMark/>
          </w:tcPr>
          <w:p w14:paraId="1EB2E1B7" w14:textId="77777777" w:rsidR="00EB609A" w:rsidRPr="00EB609A" w:rsidRDefault="00EB609A" w:rsidP="003C6BE6">
            <w:pPr>
              <w:spacing w:after="0"/>
              <w:rPr>
                <w:szCs w:val="20"/>
              </w:rPr>
            </w:pPr>
            <w:r w:rsidRPr="00EB609A">
              <w:rPr>
                <w:szCs w:val="20"/>
              </w:rPr>
              <w:t>Inter-team alignment</w:t>
            </w:r>
          </w:p>
        </w:tc>
        <w:tc>
          <w:tcPr>
            <w:tcW w:w="7267" w:type="dxa"/>
            <w:tcBorders>
              <w:top w:val="dotted" w:sz="4" w:space="0" w:color="0070C0"/>
              <w:bottom w:val="dotted" w:sz="4" w:space="0" w:color="0070C0"/>
            </w:tcBorders>
            <w:vAlign w:val="center"/>
            <w:hideMark/>
          </w:tcPr>
          <w:p w14:paraId="4F89E4AC" w14:textId="3B02B93B" w:rsidR="00EB609A" w:rsidRPr="00EB609A" w:rsidRDefault="00EB609A" w:rsidP="003C6BE6">
            <w:pPr>
              <w:spacing w:after="0"/>
              <w:rPr>
                <w:szCs w:val="20"/>
              </w:rPr>
            </w:pPr>
            <w:r w:rsidRPr="00EB609A">
              <w:rPr>
                <w:szCs w:val="20"/>
              </w:rPr>
              <w:t>Defined data c</w:t>
            </w:r>
            <w:r w:rsidR="00D46C6F">
              <w:rPr>
                <w:szCs w:val="20"/>
              </w:rPr>
              <w:t>harters</w:t>
            </w:r>
            <w:r w:rsidRPr="00EB609A">
              <w:rPr>
                <w:szCs w:val="20"/>
              </w:rPr>
              <w:t xml:space="preserve"> and joint implementation roadmap</w:t>
            </w:r>
          </w:p>
        </w:tc>
      </w:tr>
      <w:tr w:rsidR="00EB609A" w:rsidRPr="00EB609A" w14:paraId="439EECB9" w14:textId="77777777" w:rsidTr="005372A4">
        <w:trPr>
          <w:tblCellSpacing w:w="15" w:type="dxa"/>
        </w:trPr>
        <w:tc>
          <w:tcPr>
            <w:tcW w:w="3015" w:type="dxa"/>
            <w:tcBorders>
              <w:top w:val="dotted" w:sz="4" w:space="0" w:color="0070C0"/>
            </w:tcBorders>
            <w:vAlign w:val="center"/>
            <w:hideMark/>
          </w:tcPr>
          <w:p w14:paraId="135384FA" w14:textId="77777777" w:rsidR="00EB609A" w:rsidRPr="00EB609A" w:rsidRDefault="00EB609A" w:rsidP="003C6BE6">
            <w:pPr>
              <w:spacing w:after="0"/>
              <w:rPr>
                <w:szCs w:val="20"/>
              </w:rPr>
            </w:pPr>
            <w:r w:rsidRPr="00EB609A">
              <w:rPr>
                <w:szCs w:val="20"/>
              </w:rPr>
              <w:t>Platform sustainment</w:t>
            </w:r>
          </w:p>
        </w:tc>
        <w:tc>
          <w:tcPr>
            <w:tcW w:w="7267" w:type="dxa"/>
            <w:tcBorders>
              <w:top w:val="dotted" w:sz="4" w:space="0" w:color="0070C0"/>
            </w:tcBorders>
            <w:vAlign w:val="center"/>
            <w:hideMark/>
          </w:tcPr>
          <w:p w14:paraId="06213946" w14:textId="6190156B" w:rsidR="00EB609A" w:rsidRPr="00EB609A" w:rsidRDefault="00EB609A" w:rsidP="003C6BE6">
            <w:pPr>
              <w:spacing w:after="0"/>
              <w:rPr>
                <w:szCs w:val="20"/>
              </w:rPr>
            </w:pPr>
            <w:r w:rsidRPr="00EB609A">
              <w:rPr>
                <w:szCs w:val="20"/>
              </w:rPr>
              <w:t>Ownership by Supply-Chain B.I. with ongoing support from Replen Tech and EDS</w:t>
            </w:r>
          </w:p>
        </w:tc>
      </w:tr>
    </w:tbl>
    <w:p w14:paraId="2C7385E3" w14:textId="223345F8" w:rsidR="00D0092F" w:rsidRDefault="00D46C6F" w:rsidP="003C6BE6">
      <w:pPr>
        <w:pStyle w:val="Heading1"/>
      </w:pPr>
      <w:r>
        <w:t>Entitlement</w:t>
      </w:r>
      <w:r w:rsidR="00D0092F">
        <w:t xml:space="preserve"> Benefit</w:t>
      </w:r>
    </w:p>
    <w:p w14:paraId="7D39558B" w14:textId="60364D18" w:rsidR="003C2F5B" w:rsidRPr="0025222F" w:rsidRDefault="003C2F5B" w:rsidP="0025222F">
      <w:pPr>
        <w:spacing w:line="240" w:lineRule="auto"/>
        <w:rPr>
          <w:szCs w:val="20"/>
        </w:rPr>
      </w:pPr>
      <w:r w:rsidRPr="0025222F">
        <w:rPr>
          <w:szCs w:val="20"/>
        </w:rPr>
        <w:t xml:space="preserve">The CPFR Platform and Portal initiative advances Chewy’s goals of operational excellence and partner enablement by transforming manual reporting into a governed, always-available data capability. In partnership with VC and Chargeback, it enables consistent, data-driven collaboration across connected supply-chain functions. The initiative yields an estimated </w:t>
      </w:r>
      <w:r w:rsidRPr="0025222F">
        <w:rPr>
          <w:bCs/>
          <w:szCs w:val="20"/>
        </w:rPr>
        <w:t>$1.7 million in recurring annual benefit</w:t>
      </w:r>
      <w:r w:rsidRPr="0025222F">
        <w:rPr>
          <w:szCs w:val="20"/>
        </w:rPr>
        <w:t xml:space="preserve"> specific to CPFR—building on and amplifying the value generated by VC and Chargeback integration. This combined momentum directly supports Chewy’s digital modernization strategy and represents a pragmatic, low-risk investment in sustained growth and data confidence.</w:t>
      </w:r>
    </w:p>
    <w:p w14:paraId="7133E71F" w14:textId="77A2BCC0" w:rsidR="00F755E2" w:rsidRDefault="00D46C6F" w:rsidP="003C2F5B">
      <w:pPr>
        <w:pStyle w:val="Heading1"/>
        <w:spacing w:after="160" w:line="240" w:lineRule="auto"/>
      </w:pPr>
      <w:r>
        <w:lastRenderedPageBreak/>
        <w:t xml:space="preserve">[WIP] </w:t>
      </w:r>
      <w:r w:rsidR="00F755E2" w:rsidRPr="00F755E2">
        <w:t>Appendix:</w:t>
      </w:r>
    </w:p>
    <w:p w14:paraId="74C4162B" w14:textId="4EFDAB4A" w:rsidR="00EB609A" w:rsidRPr="00B951AE" w:rsidRDefault="00B951AE" w:rsidP="006E4789">
      <w:pPr>
        <w:pStyle w:val="ListParagraph"/>
        <w:numPr>
          <w:ilvl w:val="0"/>
          <w:numId w:val="20"/>
        </w:numPr>
        <w:ind w:left="270" w:hanging="180"/>
      </w:pPr>
      <w:r w:rsidRPr="00B951AE">
        <w:rPr>
          <w:b/>
          <w:bCs/>
        </w:rPr>
        <w:t>Valuation Basis:</w:t>
      </w:r>
      <w:r>
        <w:t xml:space="preserve"> Summary of entitlement basis and projected Chewy benefit</w:t>
      </w:r>
    </w:p>
    <w:p w14:paraId="7CDF44C5" w14:textId="44A170C5" w:rsidR="00D46C6F" w:rsidRDefault="00D46C6F" w:rsidP="006E4789">
      <w:pPr>
        <w:pStyle w:val="ListParagraph"/>
        <w:numPr>
          <w:ilvl w:val="0"/>
          <w:numId w:val="20"/>
        </w:numPr>
        <w:ind w:left="270" w:hanging="180"/>
      </w:pPr>
      <w:r>
        <w:rPr>
          <w:b/>
          <w:bCs/>
        </w:rPr>
        <w:t>Case Studies:</w:t>
      </w:r>
      <w:r>
        <w:t xml:space="preserve"> Examples of quantitative or qualitative opportunities, with fiscal and/or operational </w:t>
      </w:r>
      <w:r w:rsidR="00B4621D">
        <w:t xml:space="preserve">basis and </w:t>
      </w:r>
      <w:r>
        <w:t>detail.</w:t>
      </w:r>
    </w:p>
    <w:p w14:paraId="50921D6D" w14:textId="2D0CDEFF" w:rsidR="00B951AE" w:rsidRPr="00EB609A" w:rsidRDefault="00B951AE" w:rsidP="006E4789">
      <w:pPr>
        <w:pStyle w:val="ListParagraph"/>
        <w:numPr>
          <w:ilvl w:val="0"/>
          <w:numId w:val="20"/>
        </w:numPr>
        <w:ind w:left="270" w:hanging="180"/>
      </w:pPr>
      <w:r w:rsidRPr="00EB609A">
        <w:rPr>
          <w:b/>
          <w:bCs/>
        </w:rPr>
        <w:t>Architecture Summary:</w:t>
      </w:r>
      <w:r w:rsidRPr="00EB609A">
        <w:t xml:space="preserve"> Snowflake data platform → governed views → CPH portal.</w:t>
      </w:r>
    </w:p>
    <w:p w14:paraId="219362B7" w14:textId="172B8D9C" w:rsidR="00EB609A" w:rsidRPr="00EB609A" w:rsidRDefault="00EB609A" w:rsidP="006E4789">
      <w:pPr>
        <w:pStyle w:val="ListParagraph"/>
        <w:numPr>
          <w:ilvl w:val="0"/>
          <w:numId w:val="20"/>
        </w:numPr>
        <w:ind w:left="270" w:hanging="180"/>
      </w:pPr>
      <w:r w:rsidRPr="00EB609A">
        <w:rPr>
          <w:b/>
          <w:bCs/>
        </w:rPr>
        <w:t>Implementation P</w:t>
      </w:r>
      <w:r w:rsidR="00E83F50">
        <w:rPr>
          <w:b/>
          <w:bCs/>
        </w:rPr>
        <w:t>lan</w:t>
      </w:r>
      <w:r w:rsidRPr="00EB609A">
        <w:rPr>
          <w:b/>
          <w:bCs/>
        </w:rPr>
        <w:t>:</w:t>
      </w:r>
      <w:r w:rsidRPr="00EB609A">
        <w:t xml:space="preserve"> Phase 1 – Platform build &amp; internal tools; Phase 2 – Portal integration &amp; vendor onboarding.</w:t>
      </w:r>
    </w:p>
    <w:p w14:paraId="064ACDF9" w14:textId="3881A8BB" w:rsidR="00413C4B" w:rsidRDefault="00EB609A" w:rsidP="006E4789">
      <w:pPr>
        <w:pStyle w:val="ListParagraph"/>
        <w:numPr>
          <w:ilvl w:val="0"/>
          <w:numId w:val="20"/>
        </w:numPr>
        <w:ind w:left="270" w:hanging="180"/>
      </w:pPr>
      <w:r w:rsidRPr="00EB609A">
        <w:rPr>
          <w:b/>
          <w:bCs/>
        </w:rPr>
        <w:t>Next Steps:</w:t>
      </w:r>
      <w:r w:rsidRPr="00EB609A">
        <w:t xml:space="preserve"> Coordinate with B.I. and </w:t>
      </w:r>
      <w:r w:rsidR="00D46C6F">
        <w:t>Replen Tech to confirm ownership and implementation roles</w:t>
      </w:r>
      <w:r w:rsidRPr="00EB609A">
        <w:t>.</w:t>
      </w:r>
      <w:r w:rsidR="00D46C6F">
        <w:t xml:space="preserve"> Confirm approval.</w:t>
      </w:r>
    </w:p>
    <w:p w14:paraId="4B5770A3" w14:textId="6C18ADF5" w:rsidR="00413C4B" w:rsidRPr="00413C4B" w:rsidRDefault="00413C4B" w:rsidP="006E4789">
      <w:pPr>
        <w:pStyle w:val="Heading1"/>
      </w:pPr>
      <w:r>
        <w:t>Appendix 1: Valuation Basis</w:t>
      </w:r>
    </w:p>
    <w:tbl>
      <w:tblPr>
        <w:tblW w:w="12680" w:type="dxa"/>
        <w:tblLook w:val="04A0" w:firstRow="1" w:lastRow="0" w:firstColumn="1" w:lastColumn="0" w:noHBand="0" w:noVBand="1"/>
      </w:tblPr>
      <w:tblGrid>
        <w:gridCol w:w="3420"/>
        <w:gridCol w:w="270"/>
        <w:gridCol w:w="900"/>
        <w:gridCol w:w="270"/>
        <w:gridCol w:w="5760"/>
        <w:gridCol w:w="2060"/>
      </w:tblGrid>
      <w:tr w:rsidR="00413C4B" w:rsidRPr="00413C4B" w14:paraId="2881B9EF" w14:textId="77777777" w:rsidTr="00413C4B">
        <w:trPr>
          <w:trHeight w:val="288"/>
        </w:trPr>
        <w:tc>
          <w:tcPr>
            <w:tcW w:w="12680" w:type="dxa"/>
            <w:gridSpan w:val="6"/>
            <w:tcBorders>
              <w:top w:val="nil"/>
              <w:left w:val="nil"/>
              <w:bottom w:val="nil"/>
              <w:right w:val="nil"/>
            </w:tcBorders>
            <w:noWrap/>
            <w:vAlign w:val="bottom"/>
            <w:hideMark/>
          </w:tcPr>
          <w:p w14:paraId="59763FFD" w14:textId="7BE5477F"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 Operational Efficiency Calculations</w:t>
            </w:r>
          </w:p>
        </w:tc>
      </w:tr>
      <w:tr w:rsidR="00413C4B" w:rsidRPr="00413C4B" w14:paraId="0823F41F" w14:textId="77777777" w:rsidTr="00413C4B">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5EB50778"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61EC6F6B"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467B3A2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0071F12A"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2E3D7E53"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413C4B" w:rsidRPr="00413C4B" w14:paraId="4F8F7D21" w14:textId="77777777" w:rsidTr="00413C4B">
        <w:trPr>
          <w:gridAfter w:val="1"/>
          <w:wAfter w:w="2060" w:type="dxa"/>
          <w:trHeight w:val="288"/>
        </w:trPr>
        <w:tc>
          <w:tcPr>
            <w:tcW w:w="3420" w:type="dxa"/>
            <w:tcBorders>
              <w:top w:val="nil"/>
              <w:left w:val="nil"/>
              <w:bottom w:val="nil"/>
              <w:right w:val="nil"/>
            </w:tcBorders>
            <w:noWrap/>
            <w:vAlign w:val="bottom"/>
            <w:hideMark/>
          </w:tcPr>
          <w:p w14:paraId="6659108E"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ISM Cohort</w:t>
            </w:r>
          </w:p>
        </w:tc>
        <w:tc>
          <w:tcPr>
            <w:tcW w:w="270" w:type="dxa"/>
            <w:tcBorders>
              <w:top w:val="nil"/>
              <w:left w:val="nil"/>
              <w:bottom w:val="nil"/>
              <w:right w:val="nil"/>
            </w:tcBorders>
            <w:noWrap/>
            <w:vAlign w:val="bottom"/>
            <w:hideMark/>
          </w:tcPr>
          <w:p w14:paraId="01DCFE21"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160DEE6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36</w:t>
            </w:r>
          </w:p>
        </w:tc>
        <w:tc>
          <w:tcPr>
            <w:tcW w:w="270" w:type="dxa"/>
            <w:tcBorders>
              <w:top w:val="nil"/>
              <w:left w:val="nil"/>
              <w:bottom w:val="nil"/>
              <w:right w:val="nil"/>
            </w:tcBorders>
            <w:noWrap/>
            <w:vAlign w:val="bottom"/>
            <w:hideMark/>
          </w:tcPr>
          <w:p w14:paraId="2F7F20DD"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B1C810C"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Includes Consumables, Health/Science, EFE, Hard Goods, </w:t>
            </w:r>
          </w:p>
        </w:tc>
      </w:tr>
      <w:tr w:rsidR="00413C4B" w:rsidRPr="00413C4B" w14:paraId="67643B75" w14:textId="77777777" w:rsidTr="00413C4B">
        <w:trPr>
          <w:gridAfter w:val="1"/>
          <w:wAfter w:w="2060" w:type="dxa"/>
          <w:trHeight w:val="288"/>
        </w:trPr>
        <w:tc>
          <w:tcPr>
            <w:tcW w:w="3420" w:type="dxa"/>
            <w:tcBorders>
              <w:top w:val="nil"/>
              <w:left w:val="nil"/>
              <w:bottom w:val="nil"/>
              <w:right w:val="nil"/>
            </w:tcBorders>
            <w:noWrap/>
            <w:vAlign w:val="bottom"/>
            <w:hideMark/>
          </w:tcPr>
          <w:p w14:paraId="4EC037AD" w14:textId="3AD44198"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H</w:t>
            </w:r>
            <w:r>
              <w:rPr>
                <w:rFonts w:ascii="Aptos Narrow" w:eastAsia="Times New Roman" w:hAnsi="Aptos Narrow" w:cs="Times New Roman"/>
                <w:color w:val="000000"/>
                <w:kern w:val="0"/>
                <w:szCs w:val="20"/>
                <w14:ligatures w14:val="none"/>
              </w:rPr>
              <w:t>ou</w:t>
            </w:r>
            <w:r w:rsidRPr="00413C4B">
              <w:rPr>
                <w:rFonts w:ascii="Aptos Narrow" w:eastAsia="Times New Roman" w:hAnsi="Aptos Narrow" w:cs="Times New Roman"/>
                <w:color w:val="000000"/>
                <w:kern w:val="0"/>
                <w:szCs w:val="20"/>
                <w14:ligatures w14:val="none"/>
              </w:rPr>
              <w:t>rs per person/week</w:t>
            </w:r>
          </w:p>
        </w:tc>
        <w:tc>
          <w:tcPr>
            <w:tcW w:w="270" w:type="dxa"/>
            <w:tcBorders>
              <w:top w:val="nil"/>
              <w:left w:val="nil"/>
              <w:bottom w:val="nil"/>
              <w:right w:val="nil"/>
            </w:tcBorders>
            <w:noWrap/>
            <w:vAlign w:val="bottom"/>
            <w:hideMark/>
          </w:tcPr>
          <w:p w14:paraId="3F24B5C6"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7E5E432B"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w:t>
            </w:r>
          </w:p>
        </w:tc>
        <w:tc>
          <w:tcPr>
            <w:tcW w:w="270" w:type="dxa"/>
            <w:tcBorders>
              <w:top w:val="nil"/>
              <w:left w:val="nil"/>
              <w:bottom w:val="nil"/>
              <w:right w:val="nil"/>
            </w:tcBorders>
            <w:noWrap/>
            <w:vAlign w:val="bottom"/>
            <w:hideMark/>
          </w:tcPr>
          <w:p w14:paraId="0143CB73"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20E0B3F3"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Survey sample of cohort and adjust</w:t>
            </w:r>
          </w:p>
        </w:tc>
      </w:tr>
      <w:tr w:rsidR="00413C4B" w:rsidRPr="00413C4B" w14:paraId="20F32776" w14:textId="77777777" w:rsidTr="00413C4B">
        <w:trPr>
          <w:gridAfter w:val="1"/>
          <w:wAfter w:w="2060" w:type="dxa"/>
          <w:trHeight w:val="288"/>
        </w:trPr>
        <w:tc>
          <w:tcPr>
            <w:tcW w:w="3420" w:type="dxa"/>
            <w:tcBorders>
              <w:top w:val="nil"/>
              <w:left w:val="nil"/>
              <w:bottom w:val="nil"/>
              <w:right w:val="nil"/>
            </w:tcBorders>
            <w:noWrap/>
            <w:vAlign w:val="bottom"/>
            <w:hideMark/>
          </w:tcPr>
          <w:p w14:paraId="0B49D61B"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Rate</w:t>
            </w:r>
          </w:p>
        </w:tc>
        <w:tc>
          <w:tcPr>
            <w:tcW w:w="270" w:type="dxa"/>
            <w:tcBorders>
              <w:top w:val="nil"/>
              <w:left w:val="nil"/>
              <w:bottom w:val="nil"/>
              <w:right w:val="nil"/>
            </w:tcBorders>
            <w:noWrap/>
            <w:vAlign w:val="bottom"/>
            <w:hideMark/>
          </w:tcPr>
          <w:p w14:paraId="2AA77678"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757896F5"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64.90</w:t>
            </w:r>
          </w:p>
        </w:tc>
        <w:tc>
          <w:tcPr>
            <w:tcW w:w="270" w:type="dxa"/>
            <w:tcBorders>
              <w:top w:val="nil"/>
              <w:left w:val="nil"/>
              <w:bottom w:val="nil"/>
              <w:right w:val="nil"/>
            </w:tcBorders>
            <w:noWrap/>
            <w:vAlign w:val="bottom"/>
            <w:hideMark/>
          </w:tcPr>
          <w:p w14:paraId="2E442C2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085E33BA"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C5 average (likely higher IRL)</w:t>
            </w:r>
          </w:p>
        </w:tc>
      </w:tr>
      <w:tr w:rsidR="00413C4B" w:rsidRPr="00413C4B" w14:paraId="7EBF18F4" w14:textId="77777777" w:rsidTr="00413C4B">
        <w:trPr>
          <w:gridAfter w:val="1"/>
          <w:wAfter w:w="2060" w:type="dxa"/>
          <w:trHeight w:val="288"/>
        </w:trPr>
        <w:tc>
          <w:tcPr>
            <w:tcW w:w="3420" w:type="dxa"/>
            <w:tcBorders>
              <w:top w:val="nil"/>
              <w:left w:val="nil"/>
              <w:bottom w:val="nil"/>
              <w:right w:val="nil"/>
            </w:tcBorders>
            <w:noWrap/>
            <w:vAlign w:val="bottom"/>
            <w:hideMark/>
          </w:tcPr>
          <w:p w14:paraId="2B3D98E2"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Weeks</w:t>
            </w:r>
          </w:p>
        </w:tc>
        <w:tc>
          <w:tcPr>
            <w:tcW w:w="270" w:type="dxa"/>
            <w:tcBorders>
              <w:top w:val="nil"/>
              <w:left w:val="nil"/>
              <w:bottom w:val="nil"/>
              <w:right w:val="nil"/>
            </w:tcBorders>
            <w:noWrap/>
            <w:vAlign w:val="bottom"/>
            <w:hideMark/>
          </w:tcPr>
          <w:p w14:paraId="751EE6B9"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3D863221"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52</w:t>
            </w:r>
          </w:p>
        </w:tc>
        <w:tc>
          <w:tcPr>
            <w:tcW w:w="270" w:type="dxa"/>
            <w:tcBorders>
              <w:top w:val="nil"/>
              <w:left w:val="nil"/>
              <w:bottom w:val="nil"/>
              <w:right w:val="nil"/>
            </w:tcBorders>
            <w:noWrap/>
            <w:vAlign w:val="bottom"/>
            <w:hideMark/>
          </w:tcPr>
          <w:p w14:paraId="603DFD9E"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45378A3D" w14:textId="221C01F3"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Burden rate does not stop during PTO/Holidays</w:t>
            </w:r>
          </w:p>
        </w:tc>
      </w:tr>
      <w:tr w:rsidR="00413C4B" w:rsidRPr="00413C4B" w14:paraId="44DE99BA" w14:textId="77777777" w:rsidTr="00413C4B">
        <w:trPr>
          <w:gridAfter w:val="1"/>
          <w:wAfter w:w="2060" w:type="dxa"/>
          <w:trHeight w:val="576"/>
        </w:trPr>
        <w:tc>
          <w:tcPr>
            <w:tcW w:w="3420" w:type="dxa"/>
            <w:tcBorders>
              <w:top w:val="nil"/>
              <w:left w:val="nil"/>
              <w:bottom w:val="double" w:sz="4" w:space="0" w:color="auto"/>
              <w:right w:val="nil"/>
            </w:tcBorders>
            <w:noWrap/>
            <w:hideMark/>
          </w:tcPr>
          <w:p w14:paraId="042D3DD5"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FBLR</w:t>
            </w:r>
          </w:p>
        </w:tc>
        <w:tc>
          <w:tcPr>
            <w:tcW w:w="270" w:type="dxa"/>
            <w:tcBorders>
              <w:top w:val="nil"/>
              <w:left w:val="nil"/>
              <w:bottom w:val="double" w:sz="4" w:space="0" w:color="auto"/>
              <w:right w:val="nil"/>
            </w:tcBorders>
            <w:noWrap/>
            <w:hideMark/>
          </w:tcPr>
          <w:p w14:paraId="56A9CB27"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hideMark/>
          </w:tcPr>
          <w:p w14:paraId="4AE3688A"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2.5</w:t>
            </w:r>
          </w:p>
        </w:tc>
        <w:tc>
          <w:tcPr>
            <w:tcW w:w="270" w:type="dxa"/>
            <w:tcBorders>
              <w:top w:val="nil"/>
              <w:left w:val="nil"/>
              <w:bottom w:val="nil"/>
              <w:right w:val="nil"/>
            </w:tcBorders>
            <w:noWrap/>
            <w:hideMark/>
          </w:tcPr>
          <w:p w14:paraId="112E5A0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3A4003CD"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Inflation factor for fringe, overhead, G&amp;</w:t>
            </w:r>
            <w:proofErr w:type="gramStart"/>
            <w:r w:rsidRPr="00413C4B">
              <w:rPr>
                <w:rFonts w:ascii="Aptos Narrow" w:eastAsia="Times New Roman" w:hAnsi="Aptos Narrow" w:cs="Times New Roman"/>
                <w:color w:val="000000"/>
                <w:kern w:val="0"/>
                <w:szCs w:val="20"/>
                <w14:ligatures w14:val="none"/>
              </w:rPr>
              <w:t>A--based</w:t>
            </w:r>
            <w:proofErr w:type="gramEnd"/>
            <w:r w:rsidRPr="00413C4B">
              <w:rPr>
                <w:rFonts w:ascii="Aptos Narrow" w:eastAsia="Times New Roman" w:hAnsi="Aptos Narrow" w:cs="Times New Roman"/>
                <w:color w:val="000000"/>
                <w:kern w:val="0"/>
                <w:szCs w:val="20"/>
                <w14:ligatures w14:val="none"/>
              </w:rPr>
              <w:t xml:space="preserve"> on GAO guidelines and ACEC/AEC project estimators for white-collar roles</w:t>
            </w:r>
          </w:p>
        </w:tc>
      </w:tr>
      <w:tr w:rsidR="00413C4B" w:rsidRPr="00413C4B" w14:paraId="533AF759" w14:textId="77777777" w:rsidTr="00413C4B">
        <w:trPr>
          <w:gridAfter w:val="1"/>
          <w:wAfter w:w="2060" w:type="dxa"/>
          <w:trHeight w:val="300"/>
        </w:trPr>
        <w:tc>
          <w:tcPr>
            <w:tcW w:w="3420" w:type="dxa"/>
            <w:tcBorders>
              <w:top w:val="double" w:sz="4" w:space="0" w:color="auto"/>
              <w:left w:val="nil"/>
              <w:bottom w:val="nil"/>
              <w:right w:val="nil"/>
            </w:tcBorders>
            <w:noWrap/>
            <w:vAlign w:val="bottom"/>
            <w:hideMark/>
          </w:tcPr>
          <w:p w14:paraId="31B740F7" w14:textId="76FE026F"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Op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w:t>
            </w:r>
          </w:p>
        </w:tc>
        <w:tc>
          <w:tcPr>
            <w:tcW w:w="270" w:type="dxa"/>
            <w:tcBorders>
              <w:top w:val="double" w:sz="4" w:space="0" w:color="auto"/>
              <w:left w:val="nil"/>
              <w:bottom w:val="nil"/>
              <w:right w:val="nil"/>
            </w:tcBorders>
            <w:noWrap/>
            <w:vAlign w:val="bottom"/>
            <w:hideMark/>
          </w:tcPr>
          <w:p w14:paraId="5E4409C9"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73385DDA"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607500</w:t>
            </w:r>
          </w:p>
        </w:tc>
        <w:tc>
          <w:tcPr>
            <w:tcW w:w="270" w:type="dxa"/>
            <w:tcBorders>
              <w:top w:val="nil"/>
              <w:left w:val="nil"/>
              <w:bottom w:val="nil"/>
              <w:right w:val="nil"/>
            </w:tcBorders>
            <w:noWrap/>
            <w:vAlign w:val="bottom"/>
            <w:hideMark/>
          </w:tcPr>
          <w:p w14:paraId="54755B5F"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53F29FF"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7CE35D51" w14:textId="77777777" w:rsidTr="00413C4B">
        <w:trPr>
          <w:gridAfter w:val="1"/>
          <w:wAfter w:w="2060" w:type="dxa"/>
          <w:trHeight w:val="288"/>
        </w:trPr>
        <w:tc>
          <w:tcPr>
            <w:tcW w:w="3420" w:type="dxa"/>
            <w:tcBorders>
              <w:top w:val="nil"/>
              <w:left w:val="nil"/>
              <w:bottom w:val="nil"/>
              <w:right w:val="nil"/>
            </w:tcBorders>
            <w:noWrap/>
            <w:vAlign w:val="bottom"/>
            <w:hideMark/>
          </w:tcPr>
          <w:p w14:paraId="182FF7C3"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0340B2EF"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900" w:type="dxa"/>
            <w:tcBorders>
              <w:top w:val="nil"/>
              <w:left w:val="nil"/>
              <w:bottom w:val="nil"/>
              <w:right w:val="nil"/>
            </w:tcBorders>
            <w:noWrap/>
            <w:vAlign w:val="bottom"/>
            <w:hideMark/>
          </w:tcPr>
          <w:p w14:paraId="641D2C0D"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4E2FD587"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5760" w:type="dxa"/>
            <w:tcBorders>
              <w:top w:val="nil"/>
              <w:left w:val="nil"/>
              <w:bottom w:val="nil"/>
              <w:right w:val="nil"/>
            </w:tcBorders>
            <w:vAlign w:val="bottom"/>
            <w:hideMark/>
          </w:tcPr>
          <w:p w14:paraId="1C1F6E9E"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783EB558" w14:textId="77777777" w:rsidTr="00413C4B">
        <w:trPr>
          <w:trHeight w:val="288"/>
        </w:trPr>
        <w:tc>
          <w:tcPr>
            <w:tcW w:w="12680" w:type="dxa"/>
            <w:gridSpan w:val="6"/>
            <w:tcBorders>
              <w:top w:val="nil"/>
              <w:left w:val="nil"/>
              <w:bottom w:val="nil"/>
              <w:right w:val="nil"/>
            </w:tcBorders>
            <w:noWrap/>
            <w:vAlign w:val="bottom"/>
            <w:hideMark/>
          </w:tcPr>
          <w:p w14:paraId="397FD5ED"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 Vendor Enablement &amp; Partnership Expansion</w:t>
            </w:r>
          </w:p>
        </w:tc>
      </w:tr>
      <w:tr w:rsidR="00413C4B" w:rsidRPr="00413C4B" w14:paraId="60EB5C87" w14:textId="77777777" w:rsidTr="00413C4B">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04F7F6C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37C1F38D"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26A92CDC"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432AB615"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58982C6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413C4B" w:rsidRPr="00413C4B" w14:paraId="5CB4EBD1" w14:textId="77777777" w:rsidTr="00413C4B">
        <w:trPr>
          <w:gridAfter w:val="1"/>
          <w:wAfter w:w="2060" w:type="dxa"/>
          <w:trHeight w:val="288"/>
        </w:trPr>
        <w:tc>
          <w:tcPr>
            <w:tcW w:w="3420" w:type="dxa"/>
            <w:tcBorders>
              <w:top w:val="nil"/>
              <w:left w:val="nil"/>
              <w:bottom w:val="nil"/>
              <w:right w:val="nil"/>
            </w:tcBorders>
            <w:noWrap/>
            <w:vAlign w:val="bottom"/>
            <w:hideMark/>
          </w:tcPr>
          <w:p w14:paraId="40499856" w14:textId="4DC70B2E"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Vendor C</w:t>
            </w:r>
            <w:r>
              <w:rPr>
                <w:rFonts w:ascii="Aptos Narrow" w:eastAsia="Times New Roman" w:hAnsi="Aptos Narrow" w:cs="Times New Roman"/>
                <w:color w:val="000000"/>
                <w:kern w:val="0"/>
                <w:szCs w:val="20"/>
                <w14:ligatures w14:val="none"/>
              </w:rPr>
              <w:t>o</w:t>
            </w:r>
            <w:r w:rsidRPr="00413C4B">
              <w:rPr>
                <w:rFonts w:ascii="Aptos Narrow" w:eastAsia="Times New Roman" w:hAnsi="Aptos Narrow" w:cs="Times New Roman"/>
                <w:color w:val="000000"/>
                <w:kern w:val="0"/>
                <w:szCs w:val="20"/>
                <w14:ligatures w14:val="none"/>
              </w:rPr>
              <w:t>hort</w:t>
            </w:r>
          </w:p>
        </w:tc>
        <w:tc>
          <w:tcPr>
            <w:tcW w:w="270" w:type="dxa"/>
            <w:tcBorders>
              <w:top w:val="nil"/>
              <w:left w:val="nil"/>
              <w:bottom w:val="nil"/>
              <w:right w:val="nil"/>
            </w:tcBorders>
            <w:noWrap/>
            <w:vAlign w:val="bottom"/>
            <w:hideMark/>
          </w:tcPr>
          <w:p w14:paraId="6265E74B"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7A671018"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2350</w:t>
            </w:r>
          </w:p>
        </w:tc>
        <w:tc>
          <w:tcPr>
            <w:tcW w:w="270" w:type="dxa"/>
            <w:tcBorders>
              <w:top w:val="nil"/>
              <w:left w:val="nil"/>
              <w:bottom w:val="nil"/>
              <w:right w:val="nil"/>
            </w:tcBorders>
            <w:noWrap/>
            <w:vAlign w:val="bottom"/>
            <w:hideMark/>
          </w:tcPr>
          <w:p w14:paraId="5EE15F7B"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0718C7C8"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Enrolled CPFR tenants only</w:t>
            </w:r>
          </w:p>
        </w:tc>
      </w:tr>
      <w:tr w:rsidR="00413C4B" w:rsidRPr="00413C4B" w14:paraId="25B7733F" w14:textId="77777777" w:rsidTr="00413C4B">
        <w:trPr>
          <w:gridAfter w:val="1"/>
          <w:wAfter w:w="2060" w:type="dxa"/>
          <w:trHeight w:val="288"/>
        </w:trPr>
        <w:tc>
          <w:tcPr>
            <w:tcW w:w="3420" w:type="dxa"/>
            <w:tcBorders>
              <w:top w:val="nil"/>
              <w:left w:val="nil"/>
              <w:bottom w:val="nil"/>
              <w:right w:val="nil"/>
            </w:tcBorders>
            <w:noWrap/>
            <w:vAlign w:val="bottom"/>
            <w:hideMark/>
          </w:tcPr>
          <w:p w14:paraId="23C7988E"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Avg Annual Sales</w:t>
            </w:r>
          </w:p>
        </w:tc>
        <w:tc>
          <w:tcPr>
            <w:tcW w:w="270" w:type="dxa"/>
            <w:tcBorders>
              <w:top w:val="nil"/>
              <w:left w:val="nil"/>
              <w:bottom w:val="nil"/>
              <w:right w:val="nil"/>
            </w:tcBorders>
            <w:noWrap/>
            <w:vAlign w:val="bottom"/>
            <w:hideMark/>
          </w:tcPr>
          <w:p w14:paraId="3B343B14"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5DCB50A5"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10000</w:t>
            </w:r>
          </w:p>
        </w:tc>
        <w:tc>
          <w:tcPr>
            <w:tcW w:w="270" w:type="dxa"/>
            <w:tcBorders>
              <w:top w:val="nil"/>
              <w:left w:val="nil"/>
              <w:bottom w:val="nil"/>
              <w:right w:val="nil"/>
            </w:tcBorders>
            <w:noWrap/>
            <w:vAlign w:val="bottom"/>
            <w:hideMark/>
          </w:tcPr>
          <w:p w14:paraId="5BE1B6BC"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7D2C409B"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proofErr w:type="gramStart"/>
            <w:r w:rsidRPr="00413C4B">
              <w:rPr>
                <w:rFonts w:ascii="Aptos Narrow" w:eastAsia="Times New Roman" w:hAnsi="Aptos Narrow" w:cs="Times New Roman"/>
                <w:color w:val="000000"/>
                <w:kern w:val="0"/>
                <w:szCs w:val="20"/>
                <w14:ligatures w14:val="none"/>
              </w:rPr>
              <w:t>Compute</w:t>
            </w:r>
            <w:proofErr w:type="gramEnd"/>
            <w:r w:rsidRPr="00413C4B">
              <w:rPr>
                <w:rFonts w:ascii="Aptos Narrow" w:eastAsia="Times New Roman" w:hAnsi="Aptos Narrow" w:cs="Times New Roman"/>
                <w:color w:val="000000"/>
                <w:kern w:val="0"/>
                <w:szCs w:val="20"/>
                <w14:ligatures w14:val="none"/>
              </w:rPr>
              <w:t xml:space="preserve"> from cohort</w:t>
            </w:r>
          </w:p>
        </w:tc>
      </w:tr>
      <w:tr w:rsidR="00413C4B" w:rsidRPr="00413C4B" w14:paraId="664725DE" w14:textId="77777777" w:rsidTr="00413C4B">
        <w:trPr>
          <w:gridAfter w:val="1"/>
          <w:wAfter w:w="2060" w:type="dxa"/>
          <w:trHeight w:val="288"/>
        </w:trPr>
        <w:tc>
          <w:tcPr>
            <w:tcW w:w="3420" w:type="dxa"/>
            <w:tcBorders>
              <w:top w:val="nil"/>
              <w:left w:val="nil"/>
              <w:bottom w:val="nil"/>
              <w:right w:val="nil"/>
            </w:tcBorders>
            <w:noWrap/>
            <w:vAlign w:val="bottom"/>
            <w:hideMark/>
          </w:tcPr>
          <w:p w14:paraId="09CCF1F6"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COE incremental lift</w:t>
            </w:r>
          </w:p>
        </w:tc>
        <w:tc>
          <w:tcPr>
            <w:tcW w:w="270" w:type="dxa"/>
            <w:tcBorders>
              <w:top w:val="nil"/>
              <w:left w:val="nil"/>
              <w:bottom w:val="nil"/>
              <w:right w:val="nil"/>
            </w:tcBorders>
            <w:noWrap/>
            <w:vAlign w:val="bottom"/>
            <w:hideMark/>
          </w:tcPr>
          <w:p w14:paraId="166B1514"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25146846" w14:textId="008AAA6C"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0.1</w:t>
            </w:r>
          </w:p>
        </w:tc>
        <w:tc>
          <w:tcPr>
            <w:tcW w:w="270" w:type="dxa"/>
            <w:tcBorders>
              <w:top w:val="nil"/>
              <w:left w:val="nil"/>
              <w:bottom w:val="nil"/>
              <w:right w:val="nil"/>
            </w:tcBorders>
            <w:noWrap/>
            <w:vAlign w:val="bottom"/>
            <w:hideMark/>
          </w:tcPr>
          <w:p w14:paraId="1AF10E43"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2CBCE919" w14:textId="000841E5" w:rsidR="00413C4B" w:rsidRPr="00413C4B" w:rsidRDefault="006C78CF" w:rsidP="006E4789">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 xml:space="preserve">Annual avg pct of lift from COE. </w:t>
            </w:r>
            <w:r w:rsidR="00413C4B" w:rsidRPr="00413C4B">
              <w:rPr>
                <w:rFonts w:ascii="Aptos Narrow" w:eastAsia="Times New Roman" w:hAnsi="Aptos Narrow" w:cs="Times New Roman"/>
                <w:color w:val="000000"/>
                <w:kern w:val="0"/>
                <w:szCs w:val="20"/>
                <w14:ligatures w14:val="none"/>
              </w:rPr>
              <w:t>Survey sample of cohort and adjust</w:t>
            </w:r>
          </w:p>
        </w:tc>
      </w:tr>
      <w:tr w:rsidR="00413C4B" w:rsidRPr="00413C4B" w14:paraId="71B4A273" w14:textId="77777777" w:rsidTr="00413C4B">
        <w:trPr>
          <w:gridAfter w:val="1"/>
          <w:wAfter w:w="2060" w:type="dxa"/>
          <w:trHeight w:val="288"/>
        </w:trPr>
        <w:tc>
          <w:tcPr>
            <w:tcW w:w="3420" w:type="dxa"/>
            <w:tcBorders>
              <w:top w:val="nil"/>
              <w:left w:val="nil"/>
              <w:bottom w:val="double" w:sz="4" w:space="0" w:color="auto"/>
              <w:right w:val="nil"/>
            </w:tcBorders>
            <w:noWrap/>
            <w:vAlign w:val="bottom"/>
            <w:hideMark/>
          </w:tcPr>
          <w:p w14:paraId="5284A1EB"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Percent encumbered</w:t>
            </w:r>
          </w:p>
        </w:tc>
        <w:tc>
          <w:tcPr>
            <w:tcW w:w="270" w:type="dxa"/>
            <w:tcBorders>
              <w:top w:val="nil"/>
              <w:left w:val="nil"/>
              <w:bottom w:val="double" w:sz="4" w:space="0" w:color="auto"/>
              <w:right w:val="nil"/>
            </w:tcBorders>
            <w:noWrap/>
            <w:vAlign w:val="bottom"/>
            <w:hideMark/>
          </w:tcPr>
          <w:p w14:paraId="4544A045"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vAlign w:val="bottom"/>
            <w:hideMark/>
          </w:tcPr>
          <w:p w14:paraId="74C5401E" w14:textId="10E3719F"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0.3</w:t>
            </w:r>
          </w:p>
        </w:tc>
        <w:tc>
          <w:tcPr>
            <w:tcW w:w="270" w:type="dxa"/>
            <w:tcBorders>
              <w:top w:val="nil"/>
              <w:left w:val="nil"/>
              <w:bottom w:val="nil"/>
              <w:right w:val="nil"/>
            </w:tcBorders>
            <w:noWrap/>
            <w:vAlign w:val="bottom"/>
            <w:hideMark/>
          </w:tcPr>
          <w:p w14:paraId="4E39C2EC"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18F7B3AD" w14:textId="4B0D9113" w:rsidR="00413C4B" w:rsidRPr="00413C4B" w:rsidRDefault="006C78CF" w:rsidP="006E4789">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 xml:space="preserve">Annual avg pct of cohort involved. </w:t>
            </w:r>
            <w:r w:rsidR="00413C4B" w:rsidRPr="00413C4B">
              <w:rPr>
                <w:rFonts w:ascii="Aptos Narrow" w:eastAsia="Times New Roman" w:hAnsi="Aptos Narrow" w:cs="Times New Roman"/>
                <w:color w:val="000000"/>
                <w:kern w:val="0"/>
                <w:szCs w:val="20"/>
                <w14:ligatures w14:val="none"/>
              </w:rPr>
              <w:t>Survey ISMs and adjust</w:t>
            </w:r>
          </w:p>
        </w:tc>
      </w:tr>
      <w:tr w:rsidR="00413C4B" w:rsidRPr="00413C4B" w14:paraId="05DE9D77" w14:textId="77777777" w:rsidTr="00413C4B">
        <w:trPr>
          <w:gridAfter w:val="1"/>
          <w:wAfter w:w="2060" w:type="dxa"/>
          <w:trHeight w:val="300"/>
        </w:trPr>
        <w:tc>
          <w:tcPr>
            <w:tcW w:w="3420" w:type="dxa"/>
            <w:tcBorders>
              <w:top w:val="double" w:sz="4" w:space="0" w:color="auto"/>
              <w:left w:val="nil"/>
              <w:bottom w:val="nil"/>
              <w:right w:val="nil"/>
            </w:tcBorders>
            <w:noWrap/>
            <w:vAlign w:val="bottom"/>
            <w:hideMark/>
          </w:tcPr>
          <w:p w14:paraId="1B4FDF1F" w14:textId="7147BD8B"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Op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w:t>
            </w:r>
          </w:p>
        </w:tc>
        <w:tc>
          <w:tcPr>
            <w:tcW w:w="270" w:type="dxa"/>
            <w:tcBorders>
              <w:top w:val="double" w:sz="4" w:space="0" w:color="auto"/>
              <w:left w:val="nil"/>
              <w:bottom w:val="nil"/>
              <w:right w:val="nil"/>
            </w:tcBorders>
            <w:noWrap/>
            <w:vAlign w:val="bottom"/>
            <w:hideMark/>
          </w:tcPr>
          <w:p w14:paraId="622F6EEB"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50BF1239" w14:textId="2D747DB1"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7</w:t>
            </w:r>
            <w:r w:rsidR="006C78CF">
              <w:rPr>
                <w:rFonts w:ascii="Aptos Narrow" w:eastAsia="Times New Roman" w:hAnsi="Aptos Narrow" w:cs="Times New Roman"/>
                <w:color w:val="000000"/>
                <w:kern w:val="0"/>
                <w:szCs w:val="20"/>
                <w14:ligatures w14:val="none"/>
              </w:rPr>
              <w:t>0560</w:t>
            </w:r>
            <w:r w:rsidRPr="00413C4B">
              <w:rPr>
                <w:rFonts w:ascii="Aptos Narrow" w:eastAsia="Times New Roman" w:hAnsi="Aptos Narrow" w:cs="Times New Roman"/>
                <w:color w:val="000000"/>
                <w:kern w:val="0"/>
                <w:szCs w:val="20"/>
                <w14:ligatures w14:val="none"/>
              </w:rPr>
              <w:t>0</w:t>
            </w:r>
          </w:p>
        </w:tc>
        <w:tc>
          <w:tcPr>
            <w:tcW w:w="270" w:type="dxa"/>
            <w:tcBorders>
              <w:top w:val="nil"/>
              <w:left w:val="nil"/>
              <w:bottom w:val="nil"/>
              <w:right w:val="nil"/>
            </w:tcBorders>
            <w:noWrap/>
            <w:vAlign w:val="bottom"/>
            <w:hideMark/>
          </w:tcPr>
          <w:p w14:paraId="4D2B0147"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05DCE234"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5CB553ED" w14:textId="77777777" w:rsidTr="00413C4B">
        <w:trPr>
          <w:gridAfter w:val="1"/>
          <w:wAfter w:w="2060" w:type="dxa"/>
          <w:trHeight w:val="288"/>
        </w:trPr>
        <w:tc>
          <w:tcPr>
            <w:tcW w:w="3420" w:type="dxa"/>
            <w:tcBorders>
              <w:top w:val="nil"/>
              <w:left w:val="nil"/>
              <w:bottom w:val="nil"/>
              <w:right w:val="nil"/>
            </w:tcBorders>
            <w:noWrap/>
            <w:vAlign w:val="bottom"/>
            <w:hideMark/>
          </w:tcPr>
          <w:p w14:paraId="484B9707"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16EDB53F"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900" w:type="dxa"/>
            <w:tcBorders>
              <w:top w:val="nil"/>
              <w:left w:val="nil"/>
              <w:bottom w:val="nil"/>
              <w:right w:val="nil"/>
            </w:tcBorders>
            <w:noWrap/>
            <w:vAlign w:val="bottom"/>
            <w:hideMark/>
          </w:tcPr>
          <w:p w14:paraId="384EF33A"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47D5BA88"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5760" w:type="dxa"/>
            <w:tcBorders>
              <w:top w:val="nil"/>
              <w:left w:val="nil"/>
              <w:bottom w:val="nil"/>
              <w:right w:val="nil"/>
            </w:tcBorders>
            <w:vAlign w:val="bottom"/>
            <w:hideMark/>
          </w:tcPr>
          <w:p w14:paraId="6D61D1AA"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42F5D1AA" w14:textId="77777777" w:rsidTr="00413C4B">
        <w:trPr>
          <w:trHeight w:val="288"/>
        </w:trPr>
        <w:tc>
          <w:tcPr>
            <w:tcW w:w="12680" w:type="dxa"/>
            <w:gridSpan w:val="6"/>
            <w:tcBorders>
              <w:top w:val="nil"/>
              <w:left w:val="nil"/>
              <w:bottom w:val="nil"/>
              <w:right w:val="nil"/>
            </w:tcBorders>
            <w:noWrap/>
            <w:vAlign w:val="bottom"/>
            <w:hideMark/>
          </w:tcPr>
          <w:p w14:paraId="33619DF7"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[3] Enterprise Data Alignment &amp; Future Readiness</w:t>
            </w:r>
          </w:p>
        </w:tc>
      </w:tr>
      <w:tr w:rsidR="00413C4B" w:rsidRPr="00413C4B" w14:paraId="6C54572E" w14:textId="77777777" w:rsidTr="00413C4B">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246F5E94"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5F8C0A76"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1A7A41A3"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5F34CBDA"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077D4889"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413C4B" w:rsidRPr="00413C4B" w14:paraId="364F381A" w14:textId="77777777" w:rsidTr="00413C4B">
        <w:trPr>
          <w:gridAfter w:val="1"/>
          <w:wAfter w:w="2060" w:type="dxa"/>
          <w:trHeight w:val="288"/>
        </w:trPr>
        <w:tc>
          <w:tcPr>
            <w:tcW w:w="3420" w:type="dxa"/>
            <w:tcBorders>
              <w:top w:val="nil"/>
              <w:left w:val="nil"/>
              <w:bottom w:val="nil"/>
              <w:right w:val="nil"/>
            </w:tcBorders>
            <w:noWrap/>
            <w:vAlign w:val="bottom"/>
            <w:hideMark/>
          </w:tcPr>
          <w:p w14:paraId="7AA16E60"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Deep-dive Events (Lift)</w:t>
            </w:r>
          </w:p>
        </w:tc>
        <w:tc>
          <w:tcPr>
            <w:tcW w:w="270" w:type="dxa"/>
            <w:tcBorders>
              <w:top w:val="nil"/>
              <w:left w:val="nil"/>
              <w:bottom w:val="nil"/>
              <w:right w:val="nil"/>
            </w:tcBorders>
            <w:noWrap/>
            <w:vAlign w:val="bottom"/>
            <w:hideMark/>
          </w:tcPr>
          <w:p w14:paraId="1E146405"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0F4DD322" w14:textId="52CDACE4" w:rsidR="00413C4B" w:rsidRPr="00413C4B" w:rsidRDefault="003E656D" w:rsidP="006E4789">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24</w:t>
            </w:r>
          </w:p>
        </w:tc>
        <w:tc>
          <w:tcPr>
            <w:tcW w:w="270" w:type="dxa"/>
            <w:tcBorders>
              <w:top w:val="nil"/>
              <w:left w:val="nil"/>
              <w:bottom w:val="nil"/>
              <w:right w:val="nil"/>
            </w:tcBorders>
            <w:noWrap/>
            <w:vAlign w:val="bottom"/>
            <w:hideMark/>
          </w:tcPr>
          <w:p w14:paraId="37A9857C"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7D72C07B"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incremental revenue from throughput improvements</w:t>
            </w:r>
          </w:p>
        </w:tc>
      </w:tr>
      <w:tr w:rsidR="00413C4B" w:rsidRPr="00413C4B" w14:paraId="435AE53A" w14:textId="77777777" w:rsidTr="00413C4B">
        <w:trPr>
          <w:gridAfter w:val="1"/>
          <w:wAfter w:w="2060" w:type="dxa"/>
          <w:trHeight w:val="288"/>
        </w:trPr>
        <w:tc>
          <w:tcPr>
            <w:tcW w:w="3420" w:type="dxa"/>
            <w:tcBorders>
              <w:top w:val="nil"/>
              <w:left w:val="nil"/>
              <w:bottom w:val="nil"/>
              <w:right w:val="nil"/>
            </w:tcBorders>
            <w:noWrap/>
            <w:vAlign w:val="bottom"/>
            <w:hideMark/>
          </w:tcPr>
          <w:p w14:paraId="18281C62" w14:textId="77777777" w:rsidR="00413C4B" w:rsidRPr="00413C4B" w:rsidRDefault="00413C4B" w:rsidP="006E4789">
            <w:pPr>
              <w:spacing w:before="40" w:after="0" w:line="240" w:lineRule="auto"/>
              <w:ind w:firstLineChars="200" w:firstLine="4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Lift per event</w:t>
            </w:r>
          </w:p>
        </w:tc>
        <w:tc>
          <w:tcPr>
            <w:tcW w:w="270" w:type="dxa"/>
            <w:tcBorders>
              <w:top w:val="nil"/>
              <w:left w:val="nil"/>
              <w:bottom w:val="nil"/>
              <w:right w:val="nil"/>
            </w:tcBorders>
            <w:noWrap/>
            <w:vAlign w:val="bottom"/>
            <w:hideMark/>
          </w:tcPr>
          <w:p w14:paraId="55D59465" w14:textId="77777777" w:rsidR="00413C4B" w:rsidRPr="00413C4B" w:rsidRDefault="00413C4B" w:rsidP="006E4789">
            <w:pPr>
              <w:spacing w:before="40" w:after="0" w:line="240" w:lineRule="auto"/>
              <w:ind w:firstLineChars="200" w:firstLine="4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7DAADAC0"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45000</w:t>
            </w:r>
          </w:p>
        </w:tc>
        <w:tc>
          <w:tcPr>
            <w:tcW w:w="270" w:type="dxa"/>
            <w:tcBorders>
              <w:top w:val="nil"/>
              <w:left w:val="nil"/>
              <w:bottom w:val="nil"/>
              <w:right w:val="nil"/>
            </w:tcBorders>
            <w:noWrap/>
            <w:vAlign w:val="bottom"/>
            <w:hideMark/>
          </w:tcPr>
          <w:p w14:paraId="1E9705D1"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22C6E564"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Average across In-Stock</w:t>
            </w:r>
          </w:p>
        </w:tc>
      </w:tr>
      <w:tr w:rsidR="00413C4B" w:rsidRPr="00413C4B" w14:paraId="556F0F5E" w14:textId="77777777" w:rsidTr="00413C4B">
        <w:trPr>
          <w:gridAfter w:val="1"/>
          <w:wAfter w:w="2060" w:type="dxa"/>
          <w:trHeight w:val="288"/>
        </w:trPr>
        <w:tc>
          <w:tcPr>
            <w:tcW w:w="3420" w:type="dxa"/>
            <w:tcBorders>
              <w:top w:val="nil"/>
              <w:left w:val="nil"/>
              <w:bottom w:val="nil"/>
              <w:right w:val="nil"/>
            </w:tcBorders>
            <w:noWrap/>
            <w:vAlign w:val="bottom"/>
            <w:hideMark/>
          </w:tcPr>
          <w:p w14:paraId="1118A8E1"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Deep-dive Events (COE)</w:t>
            </w:r>
          </w:p>
        </w:tc>
        <w:tc>
          <w:tcPr>
            <w:tcW w:w="270" w:type="dxa"/>
            <w:tcBorders>
              <w:top w:val="nil"/>
              <w:left w:val="nil"/>
              <w:bottom w:val="nil"/>
              <w:right w:val="nil"/>
            </w:tcBorders>
            <w:noWrap/>
            <w:vAlign w:val="bottom"/>
            <w:hideMark/>
          </w:tcPr>
          <w:p w14:paraId="7A138C29"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5AF50B96"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60</w:t>
            </w:r>
          </w:p>
        </w:tc>
        <w:tc>
          <w:tcPr>
            <w:tcW w:w="270" w:type="dxa"/>
            <w:tcBorders>
              <w:top w:val="nil"/>
              <w:left w:val="nil"/>
              <w:bottom w:val="nil"/>
              <w:right w:val="nil"/>
            </w:tcBorders>
            <w:noWrap/>
            <w:vAlign w:val="bottom"/>
            <w:hideMark/>
          </w:tcPr>
          <w:p w14:paraId="05CA5BBA"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F2DA71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Operational efficiency gains, COE, Spoilage avoidance, NOP improvement</w:t>
            </w:r>
          </w:p>
        </w:tc>
      </w:tr>
      <w:tr w:rsidR="00413C4B" w:rsidRPr="00413C4B" w14:paraId="34CA6E3E" w14:textId="77777777" w:rsidTr="00413C4B">
        <w:trPr>
          <w:gridAfter w:val="1"/>
          <w:wAfter w:w="2060" w:type="dxa"/>
          <w:trHeight w:val="288"/>
        </w:trPr>
        <w:tc>
          <w:tcPr>
            <w:tcW w:w="3420" w:type="dxa"/>
            <w:tcBorders>
              <w:top w:val="nil"/>
              <w:left w:val="nil"/>
              <w:bottom w:val="nil"/>
              <w:right w:val="nil"/>
            </w:tcBorders>
            <w:noWrap/>
            <w:vAlign w:val="bottom"/>
            <w:hideMark/>
          </w:tcPr>
          <w:p w14:paraId="20AD5AF9" w14:textId="77777777" w:rsidR="00413C4B" w:rsidRPr="00413C4B" w:rsidRDefault="00413C4B" w:rsidP="006E4789">
            <w:pPr>
              <w:spacing w:before="40" w:after="0" w:line="240" w:lineRule="auto"/>
              <w:ind w:firstLineChars="200" w:firstLine="4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Cost Avoidance per event</w:t>
            </w:r>
          </w:p>
        </w:tc>
        <w:tc>
          <w:tcPr>
            <w:tcW w:w="270" w:type="dxa"/>
            <w:tcBorders>
              <w:top w:val="nil"/>
              <w:left w:val="nil"/>
              <w:bottom w:val="nil"/>
              <w:right w:val="nil"/>
            </w:tcBorders>
            <w:noWrap/>
            <w:vAlign w:val="bottom"/>
            <w:hideMark/>
          </w:tcPr>
          <w:p w14:paraId="3587C36C" w14:textId="77777777" w:rsidR="00413C4B" w:rsidRPr="00413C4B" w:rsidRDefault="00413C4B" w:rsidP="006E4789">
            <w:pPr>
              <w:spacing w:before="40" w:after="0" w:line="240" w:lineRule="auto"/>
              <w:ind w:firstLineChars="200" w:firstLine="4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3460CC38"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45000</w:t>
            </w:r>
          </w:p>
        </w:tc>
        <w:tc>
          <w:tcPr>
            <w:tcW w:w="270" w:type="dxa"/>
            <w:tcBorders>
              <w:top w:val="nil"/>
              <w:left w:val="nil"/>
              <w:bottom w:val="nil"/>
              <w:right w:val="nil"/>
            </w:tcBorders>
            <w:noWrap/>
            <w:vAlign w:val="bottom"/>
            <w:hideMark/>
          </w:tcPr>
          <w:p w14:paraId="00874CDA"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619BE5C4"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Average across In-Stock</w:t>
            </w:r>
          </w:p>
        </w:tc>
      </w:tr>
      <w:tr w:rsidR="00413C4B" w:rsidRPr="00413C4B" w14:paraId="571F58A7" w14:textId="77777777" w:rsidTr="00413C4B">
        <w:trPr>
          <w:gridAfter w:val="1"/>
          <w:wAfter w:w="2060" w:type="dxa"/>
          <w:trHeight w:val="288"/>
        </w:trPr>
        <w:tc>
          <w:tcPr>
            <w:tcW w:w="3420" w:type="dxa"/>
            <w:tcBorders>
              <w:top w:val="nil"/>
              <w:left w:val="nil"/>
              <w:bottom w:val="nil"/>
              <w:right w:val="nil"/>
            </w:tcBorders>
            <w:noWrap/>
            <w:vAlign w:val="bottom"/>
            <w:hideMark/>
          </w:tcPr>
          <w:p w14:paraId="54F3FDE4"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Deep-dive Events (NPI)</w:t>
            </w:r>
          </w:p>
        </w:tc>
        <w:tc>
          <w:tcPr>
            <w:tcW w:w="270" w:type="dxa"/>
            <w:tcBorders>
              <w:top w:val="nil"/>
              <w:left w:val="nil"/>
              <w:bottom w:val="nil"/>
              <w:right w:val="nil"/>
            </w:tcBorders>
            <w:noWrap/>
            <w:vAlign w:val="bottom"/>
            <w:hideMark/>
          </w:tcPr>
          <w:p w14:paraId="2F5FE49A"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0CD1BA72"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10</w:t>
            </w:r>
          </w:p>
        </w:tc>
        <w:tc>
          <w:tcPr>
            <w:tcW w:w="270" w:type="dxa"/>
            <w:tcBorders>
              <w:top w:val="nil"/>
              <w:left w:val="nil"/>
              <w:bottom w:val="nil"/>
              <w:right w:val="nil"/>
            </w:tcBorders>
            <w:noWrap/>
            <w:vAlign w:val="bottom"/>
            <w:hideMark/>
          </w:tcPr>
          <w:p w14:paraId="64EA5A5D"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0D998F69"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NPI/Catalog additions and product line unlocks.</w:t>
            </w:r>
          </w:p>
        </w:tc>
      </w:tr>
      <w:tr w:rsidR="00413C4B" w:rsidRPr="00413C4B" w14:paraId="2CD8054E" w14:textId="77777777" w:rsidTr="00413C4B">
        <w:trPr>
          <w:gridAfter w:val="1"/>
          <w:wAfter w:w="2060" w:type="dxa"/>
          <w:trHeight w:val="288"/>
        </w:trPr>
        <w:tc>
          <w:tcPr>
            <w:tcW w:w="3420" w:type="dxa"/>
            <w:tcBorders>
              <w:top w:val="nil"/>
              <w:left w:val="nil"/>
              <w:bottom w:val="nil"/>
              <w:right w:val="nil"/>
            </w:tcBorders>
            <w:noWrap/>
            <w:vAlign w:val="bottom"/>
            <w:hideMark/>
          </w:tcPr>
          <w:p w14:paraId="6898F0A2" w14:textId="77777777" w:rsidR="00413C4B" w:rsidRPr="00413C4B" w:rsidRDefault="00413C4B" w:rsidP="006E4789">
            <w:pPr>
              <w:spacing w:before="40" w:after="0" w:line="240" w:lineRule="auto"/>
              <w:ind w:firstLineChars="200" w:firstLine="4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Incremental SKU revenue</w:t>
            </w:r>
          </w:p>
        </w:tc>
        <w:tc>
          <w:tcPr>
            <w:tcW w:w="270" w:type="dxa"/>
            <w:tcBorders>
              <w:top w:val="nil"/>
              <w:left w:val="nil"/>
              <w:bottom w:val="nil"/>
              <w:right w:val="nil"/>
            </w:tcBorders>
            <w:noWrap/>
            <w:vAlign w:val="bottom"/>
            <w:hideMark/>
          </w:tcPr>
          <w:p w14:paraId="4E545B41" w14:textId="77777777" w:rsidR="00413C4B" w:rsidRPr="00413C4B" w:rsidRDefault="00413C4B" w:rsidP="006E4789">
            <w:pPr>
              <w:spacing w:before="40" w:after="0" w:line="240" w:lineRule="auto"/>
              <w:ind w:firstLineChars="200" w:firstLine="4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153DB5BE"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45000</w:t>
            </w:r>
          </w:p>
        </w:tc>
        <w:tc>
          <w:tcPr>
            <w:tcW w:w="270" w:type="dxa"/>
            <w:tcBorders>
              <w:top w:val="nil"/>
              <w:left w:val="nil"/>
              <w:bottom w:val="nil"/>
              <w:right w:val="nil"/>
            </w:tcBorders>
            <w:noWrap/>
            <w:vAlign w:val="bottom"/>
            <w:hideMark/>
          </w:tcPr>
          <w:p w14:paraId="7B71E76D"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5BC843A5"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Average across In-Stock</w:t>
            </w:r>
          </w:p>
        </w:tc>
      </w:tr>
      <w:tr w:rsidR="00413C4B" w:rsidRPr="00413C4B" w14:paraId="0B917CA9" w14:textId="77777777" w:rsidTr="00413C4B">
        <w:trPr>
          <w:gridAfter w:val="1"/>
          <w:wAfter w:w="2060" w:type="dxa"/>
          <w:trHeight w:val="288"/>
        </w:trPr>
        <w:tc>
          <w:tcPr>
            <w:tcW w:w="3420" w:type="dxa"/>
            <w:tcBorders>
              <w:top w:val="nil"/>
              <w:left w:val="nil"/>
              <w:bottom w:val="double" w:sz="4" w:space="0" w:color="auto"/>
              <w:right w:val="nil"/>
            </w:tcBorders>
            <w:noWrap/>
            <w:vAlign w:val="bottom"/>
            <w:hideMark/>
          </w:tcPr>
          <w:p w14:paraId="76505E8B"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Impact rate of data inconsistency</w:t>
            </w:r>
          </w:p>
        </w:tc>
        <w:tc>
          <w:tcPr>
            <w:tcW w:w="270" w:type="dxa"/>
            <w:tcBorders>
              <w:top w:val="nil"/>
              <w:left w:val="nil"/>
              <w:bottom w:val="double" w:sz="4" w:space="0" w:color="auto"/>
              <w:right w:val="nil"/>
            </w:tcBorders>
            <w:noWrap/>
            <w:vAlign w:val="bottom"/>
            <w:hideMark/>
          </w:tcPr>
          <w:p w14:paraId="0447F934"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vAlign w:val="bottom"/>
            <w:hideMark/>
          </w:tcPr>
          <w:p w14:paraId="582FF95C"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0.1</w:t>
            </w:r>
          </w:p>
        </w:tc>
        <w:tc>
          <w:tcPr>
            <w:tcW w:w="270" w:type="dxa"/>
            <w:tcBorders>
              <w:top w:val="nil"/>
              <w:left w:val="nil"/>
              <w:bottom w:val="nil"/>
              <w:right w:val="nil"/>
            </w:tcBorders>
            <w:noWrap/>
            <w:vAlign w:val="bottom"/>
            <w:hideMark/>
          </w:tcPr>
          <w:p w14:paraId="437E2479"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594A1EEE"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Percent of time that more data consistency or visibility was impactful</w:t>
            </w:r>
          </w:p>
        </w:tc>
      </w:tr>
      <w:tr w:rsidR="00413C4B" w:rsidRPr="00413C4B" w14:paraId="588FBDA5" w14:textId="77777777" w:rsidTr="00413C4B">
        <w:trPr>
          <w:gridAfter w:val="1"/>
          <w:wAfter w:w="2060" w:type="dxa"/>
          <w:trHeight w:val="300"/>
        </w:trPr>
        <w:tc>
          <w:tcPr>
            <w:tcW w:w="3420" w:type="dxa"/>
            <w:tcBorders>
              <w:top w:val="double" w:sz="4" w:space="0" w:color="auto"/>
              <w:left w:val="nil"/>
              <w:bottom w:val="nil"/>
              <w:right w:val="nil"/>
            </w:tcBorders>
            <w:noWrap/>
            <w:vAlign w:val="bottom"/>
            <w:hideMark/>
          </w:tcPr>
          <w:p w14:paraId="7E2C2707" w14:textId="5A42AF89"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Op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w:t>
            </w:r>
          </w:p>
        </w:tc>
        <w:tc>
          <w:tcPr>
            <w:tcW w:w="270" w:type="dxa"/>
            <w:tcBorders>
              <w:top w:val="double" w:sz="4" w:space="0" w:color="auto"/>
              <w:left w:val="nil"/>
              <w:bottom w:val="nil"/>
              <w:right w:val="nil"/>
            </w:tcBorders>
            <w:noWrap/>
            <w:vAlign w:val="bottom"/>
            <w:hideMark/>
          </w:tcPr>
          <w:p w14:paraId="7EE2430E"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493378AE" w14:textId="07A361CC" w:rsidR="00413C4B" w:rsidRPr="00413C4B" w:rsidRDefault="003E656D" w:rsidP="006E4789">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375</w:t>
            </w:r>
            <w:r w:rsidR="00413C4B" w:rsidRPr="00413C4B">
              <w:rPr>
                <w:rFonts w:ascii="Aptos Narrow" w:eastAsia="Times New Roman" w:hAnsi="Aptos Narrow" w:cs="Times New Roman"/>
                <w:color w:val="000000"/>
                <w:kern w:val="0"/>
                <w:szCs w:val="20"/>
                <w14:ligatures w14:val="none"/>
              </w:rPr>
              <w:t>000</w:t>
            </w:r>
          </w:p>
        </w:tc>
        <w:tc>
          <w:tcPr>
            <w:tcW w:w="270" w:type="dxa"/>
            <w:tcBorders>
              <w:top w:val="nil"/>
              <w:left w:val="nil"/>
              <w:bottom w:val="nil"/>
              <w:right w:val="nil"/>
            </w:tcBorders>
            <w:noWrap/>
            <w:vAlign w:val="bottom"/>
            <w:hideMark/>
          </w:tcPr>
          <w:p w14:paraId="56A98A25"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41258C9A"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441C73DA" w14:textId="77777777" w:rsidTr="00413C4B">
        <w:trPr>
          <w:gridAfter w:val="1"/>
          <w:wAfter w:w="2060" w:type="dxa"/>
          <w:trHeight w:val="288"/>
        </w:trPr>
        <w:tc>
          <w:tcPr>
            <w:tcW w:w="3420" w:type="dxa"/>
            <w:tcBorders>
              <w:top w:val="nil"/>
              <w:left w:val="nil"/>
              <w:bottom w:val="nil"/>
              <w:right w:val="nil"/>
            </w:tcBorders>
            <w:noWrap/>
            <w:vAlign w:val="bottom"/>
            <w:hideMark/>
          </w:tcPr>
          <w:p w14:paraId="1D6B4AA5"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381B5E67"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900" w:type="dxa"/>
            <w:tcBorders>
              <w:top w:val="nil"/>
              <w:left w:val="nil"/>
              <w:bottom w:val="nil"/>
              <w:right w:val="nil"/>
            </w:tcBorders>
            <w:noWrap/>
            <w:vAlign w:val="bottom"/>
            <w:hideMark/>
          </w:tcPr>
          <w:p w14:paraId="0D0173AE"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0BBFA106"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5760" w:type="dxa"/>
            <w:tcBorders>
              <w:top w:val="nil"/>
              <w:left w:val="nil"/>
              <w:bottom w:val="nil"/>
              <w:right w:val="nil"/>
            </w:tcBorders>
            <w:vAlign w:val="bottom"/>
            <w:hideMark/>
          </w:tcPr>
          <w:p w14:paraId="5191093E"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05D1D897" w14:textId="77777777" w:rsidTr="00413C4B">
        <w:trPr>
          <w:trHeight w:val="288"/>
        </w:trPr>
        <w:tc>
          <w:tcPr>
            <w:tcW w:w="12680" w:type="dxa"/>
            <w:gridSpan w:val="6"/>
            <w:tcBorders>
              <w:top w:val="nil"/>
              <w:left w:val="nil"/>
              <w:bottom w:val="nil"/>
              <w:right w:val="nil"/>
            </w:tcBorders>
            <w:noWrap/>
            <w:vAlign w:val="bottom"/>
            <w:hideMark/>
          </w:tcPr>
          <w:p w14:paraId="1295545B"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[4] Strategic Growth Enablement</w:t>
            </w:r>
          </w:p>
        </w:tc>
      </w:tr>
      <w:tr w:rsidR="00413C4B" w:rsidRPr="00413C4B" w14:paraId="68CEC4D7" w14:textId="77777777" w:rsidTr="00413C4B">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2C7FD1A5"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3E9A75FE"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46AD5CF3"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03D3C1A7"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6DB8E24E"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413C4B" w:rsidRPr="00413C4B" w14:paraId="5C8426F7" w14:textId="77777777" w:rsidTr="00413C4B">
        <w:trPr>
          <w:gridAfter w:val="1"/>
          <w:wAfter w:w="2060" w:type="dxa"/>
          <w:trHeight w:val="288"/>
        </w:trPr>
        <w:tc>
          <w:tcPr>
            <w:tcW w:w="3420" w:type="dxa"/>
            <w:tcBorders>
              <w:top w:val="nil"/>
              <w:left w:val="nil"/>
              <w:bottom w:val="nil"/>
              <w:right w:val="nil"/>
            </w:tcBorders>
            <w:noWrap/>
            <w:vAlign w:val="bottom"/>
            <w:hideMark/>
          </w:tcPr>
          <w:p w14:paraId="5F626BB5"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Analytic Opportunity</w:t>
            </w:r>
          </w:p>
        </w:tc>
        <w:tc>
          <w:tcPr>
            <w:tcW w:w="270" w:type="dxa"/>
            <w:tcBorders>
              <w:top w:val="nil"/>
              <w:left w:val="nil"/>
              <w:bottom w:val="nil"/>
              <w:right w:val="nil"/>
            </w:tcBorders>
            <w:noWrap/>
            <w:vAlign w:val="bottom"/>
            <w:hideMark/>
          </w:tcPr>
          <w:p w14:paraId="5DCAE567"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4BCF9AC7"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150000</w:t>
            </w:r>
          </w:p>
        </w:tc>
        <w:tc>
          <w:tcPr>
            <w:tcW w:w="270" w:type="dxa"/>
            <w:tcBorders>
              <w:top w:val="nil"/>
              <w:left w:val="nil"/>
              <w:bottom w:val="nil"/>
              <w:right w:val="nil"/>
            </w:tcBorders>
            <w:noWrap/>
            <w:vAlign w:val="bottom"/>
            <w:hideMark/>
          </w:tcPr>
          <w:p w14:paraId="76718F85"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7D9BC93D" w14:textId="130C111D"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Pro</w:t>
            </w:r>
            <w:r>
              <w:rPr>
                <w:rFonts w:ascii="Aptos Narrow" w:eastAsia="Times New Roman" w:hAnsi="Aptos Narrow" w:cs="Times New Roman"/>
                <w:color w:val="000000"/>
                <w:kern w:val="0"/>
                <w:szCs w:val="20"/>
                <w14:ligatures w14:val="none"/>
              </w:rPr>
              <w:t xml:space="preserve"> </w:t>
            </w:r>
            <w:proofErr w:type="gramStart"/>
            <w:r w:rsidRPr="00413C4B">
              <w:rPr>
                <w:rFonts w:ascii="Aptos Narrow" w:eastAsia="Times New Roman" w:hAnsi="Aptos Narrow" w:cs="Times New Roman"/>
                <w:color w:val="000000"/>
                <w:kern w:val="0"/>
                <w:szCs w:val="20"/>
                <w14:ligatures w14:val="none"/>
              </w:rPr>
              <w:t>rata value</w:t>
            </w:r>
            <w:proofErr w:type="gramEnd"/>
            <w:r w:rsidRPr="00413C4B">
              <w:rPr>
                <w:rFonts w:ascii="Aptos Narrow" w:eastAsia="Times New Roman" w:hAnsi="Aptos Narrow" w:cs="Times New Roman"/>
                <w:color w:val="000000"/>
                <w:kern w:val="0"/>
                <w:szCs w:val="20"/>
                <w14:ligatures w14:val="none"/>
              </w:rPr>
              <w:t xml:space="preserve"> of program contribution: future analytics opportunities</w:t>
            </w:r>
          </w:p>
        </w:tc>
      </w:tr>
      <w:tr w:rsidR="00413C4B" w:rsidRPr="00413C4B" w14:paraId="03BC4A30" w14:textId="77777777" w:rsidTr="00413C4B">
        <w:trPr>
          <w:gridAfter w:val="1"/>
          <w:wAfter w:w="2060" w:type="dxa"/>
          <w:trHeight w:val="288"/>
        </w:trPr>
        <w:tc>
          <w:tcPr>
            <w:tcW w:w="3420" w:type="dxa"/>
            <w:tcBorders>
              <w:top w:val="nil"/>
              <w:left w:val="nil"/>
              <w:bottom w:val="nil"/>
              <w:right w:val="nil"/>
            </w:tcBorders>
            <w:noWrap/>
            <w:vAlign w:val="bottom"/>
            <w:hideMark/>
          </w:tcPr>
          <w:p w14:paraId="54D7AAAB"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AI/ML Opportunity </w:t>
            </w:r>
          </w:p>
        </w:tc>
        <w:tc>
          <w:tcPr>
            <w:tcW w:w="270" w:type="dxa"/>
            <w:tcBorders>
              <w:top w:val="nil"/>
              <w:left w:val="nil"/>
              <w:bottom w:val="nil"/>
              <w:right w:val="nil"/>
            </w:tcBorders>
            <w:noWrap/>
            <w:vAlign w:val="bottom"/>
            <w:hideMark/>
          </w:tcPr>
          <w:p w14:paraId="70BB5343"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5D7615D1"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375000</w:t>
            </w:r>
          </w:p>
        </w:tc>
        <w:tc>
          <w:tcPr>
            <w:tcW w:w="270" w:type="dxa"/>
            <w:tcBorders>
              <w:top w:val="nil"/>
              <w:left w:val="nil"/>
              <w:bottom w:val="nil"/>
              <w:right w:val="nil"/>
            </w:tcBorders>
            <w:noWrap/>
            <w:vAlign w:val="bottom"/>
            <w:hideMark/>
          </w:tcPr>
          <w:p w14:paraId="162FE319"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4627E656" w14:textId="20888DE1"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Pro</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rata value of program contribution: future AI/ML opportunities</w:t>
            </w:r>
          </w:p>
        </w:tc>
      </w:tr>
      <w:tr w:rsidR="00413C4B" w:rsidRPr="00413C4B" w14:paraId="7F276B70" w14:textId="77777777" w:rsidTr="00413C4B">
        <w:trPr>
          <w:gridAfter w:val="1"/>
          <w:wAfter w:w="2060" w:type="dxa"/>
          <w:trHeight w:val="288"/>
        </w:trPr>
        <w:tc>
          <w:tcPr>
            <w:tcW w:w="3420" w:type="dxa"/>
            <w:tcBorders>
              <w:top w:val="nil"/>
              <w:left w:val="nil"/>
              <w:bottom w:val="double" w:sz="4" w:space="0" w:color="auto"/>
              <w:right w:val="nil"/>
            </w:tcBorders>
            <w:noWrap/>
            <w:vAlign w:val="bottom"/>
            <w:hideMark/>
          </w:tcPr>
          <w:p w14:paraId="6976B7DA"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Lean / 6σ</w:t>
            </w:r>
          </w:p>
        </w:tc>
        <w:tc>
          <w:tcPr>
            <w:tcW w:w="270" w:type="dxa"/>
            <w:tcBorders>
              <w:top w:val="nil"/>
              <w:left w:val="nil"/>
              <w:bottom w:val="double" w:sz="4" w:space="0" w:color="auto"/>
              <w:right w:val="nil"/>
            </w:tcBorders>
            <w:noWrap/>
            <w:vAlign w:val="bottom"/>
            <w:hideMark/>
          </w:tcPr>
          <w:p w14:paraId="0A780AAE"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vAlign w:val="bottom"/>
            <w:hideMark/>
          </w:tcPr>
          <w:p w14:paraId="3A3E589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100000</w:t>
            </w:r>
          </w:p>
        </w:tc>
        <w:tc>
          <w:tcPr>
            <w:tcW w:w="270" w:type="dxa"/>
            <w:tcBorders>
              <w:top w:val="nil"/>
              <w:left w:val="nil"/>
              <w:bottom w:val="nil"/>
              <w:right w:val="nil"/>
            </w:tcBorders>
            <w:noWrap/>
            <w:vAlign w:val="bottom"/>
            <w:hideMark/>
          </w:tcPr>
          <w:p w14:paraId="04D8F56B"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124BC092" w14:textId="46216981"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Pro</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 xml:space="preserve">rata value of program </w:t>
            </w:r>
            <w:proofErr w:type="gramStart"/>
            <w:r w:rsidRPr="00413C4B">
              <w:rPr>
                <w:rFonts w:ascii="Aptos Narrow" w:eastAsia="Times New Roman" w:hAnsi="Aptos Narrow" w:cs="Times New Roman"/>
                <w:color w:val="000000"/>
                <w:kern w:val="0"/>
                <w:szCs w:val="20"/>
                <w14:ligatures w14:val="none"/>
              </w:rPr>
              <w:t>contribution :</w:t>
            </w:r>
            <w:proofErr w:type="gramEnd"/>
            <w:r w:rsidRPr="00413C4B">
              <w:rPr>
                <w:rFonts w:ascii="Aptos Narrow" w:eastAsia="Times New Roman" w:hAnsi="Aptos Narrow" w:cs="Times New Roman"/>
                <w:color w:val="000000"/>
                <w:kern w:val="0"/>
                <w:szCs w:val="20"/>
                <w14:ligatures w14:val="none"/>
              </w:rPr>
              <w:t xml:space="preserve"> future Lean / 6σ opportunities</w:t>
            </w:r>
          </w:p>
        </w:tc>
      </w:tr>
      <w:tr w:rsidR="00413C4B" w:rsidRPr="00413C4B" w14:paraId="6AC24F2C" w14:textId="77777777" w:rsidTr="00413C4B">
        <w:trPr>
          <w:gridAfter w:val="1"/>
          <w:wAfter w:w="2060" w:type="dxa"/>
          <w:trHeight w:val="300"/>
        </w:trPr>
        <w:tc>
          <w:tcPr>
            <w:tcW w:w="3420" w:type="dxa"/>
            <w:tcBorders>
              <w:top w:val="double" w:sz="4" w:space="0" w:color="auto"/>
              <w:left w:val="nil"/>
              <w:bottom w:val="nil"/>
              <w:right w:val="nil"/>
            </w:tcBorders>
            <w:noWrap/>
            <w:vAlign w:val="bottom"/>
            <w:hideMark/>
          </w:tcPr>
          <w:p w14:paraId="09FB8AC8" w14:textId="0A0651A3"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Cap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 Conversion</w:t>
            </w:r>
          </w:p>
        </w:tc>
        <w:tc>
          <w:tcPr>
            <w:tcW w:w="270" w:type="dxa"/>
            <w:tcBorders>
              <w:top w:val="double" w:sz="4" w:space="0" w:color="auto"/>
              <w:left w:val="nil"/>
              <w:bottom w:val="nil"/>
              <w:right w:val="nil"/>
            </w:tcBorders>
            <w:noWrap/>
            <w:vAlign w:val="bottom"/>
            <w:hideMark/>
          </w:tcPr>
          <w:p w14:paraId="1207D973"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522DCC7F"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625000</w:t>
            </w:r>
          </w:p>
        </w:tc>
        <w:tc>
          <w:tcPr>
            <w:tcW w:w="270" w:type="dxa"/>
            <w:tcBorders>
              <w:top w:val="nil"/>
              <w:left w:val="nil"/>
              <w:bottom w:val="nil"/>
              <w:right w:val="nil"/>
            </w:tcBorders>
            <w:noWrap/>
            <w:vAlign w:val="bottom"/>
            <w:hideMark/>
          </w:tcPr>
          <w:p w14:paraId="420AF50F"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96820E2"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bl>
    <w:p w14:paraId="08675B5A" w14:textId="4D0838FA" w:rsidR="00E2756F" w:rsidRPr="00E2756F" w:rsidRDefault="00B951AE" w:rsidP="00E2756F">
      <w:pPr>
        <w:pStyle w:val="Heading1"/>
      </w:pPr>
      <w:r>
        <w:lastRenderedPageBreak/>
        <w:t>Appendix 2: Case Studies</w:t>
      </w:r>
    </w:p>
    <w:p w14:paraId="002832D0" w14:textId="3CD77587" w:rsidR="00E2756F" w:rsidRPr="00E2756F" w:rsidRDefault="00E2756F" w:rsidP="00E2756F">
      <w:pPr>
        <w:pStyle w:val="Heading2"/>
      </w:pPr>
      <w:r w:rsidRPr="00E2756F">
        <w:t>Survey Methodology &amp; Scope</w:t>
      </w:r>
    </w:p>
    <w:p w14:paraId="4A97ACE8" w14:textId="7B5D0A2A" w:rsidR="00E2756F" w:rsidRPr="003C2571" w:rsidRDefault="00E2756F" w:rsidP="00E2756F">
      <w:r w:rsidRPr="00E2756F">
        <w:t>Subject matter expert interviews were conducted with senior In-Stock Managers managing relationships with major</w:t>
      </w:r>
      <w:r w:rsidR="003C2571">
        <w:t xml:space="preserve"> </w:t>
      </w:r>
      <w:r w:rsidRPr="00E2756F">
        <w:t>manufacturers and direct distributors. The ISMs surveyed collectively represent substantial CPFR program scope spanning</w:t>
      </w:r>
      <w:r w:rsidR="003C2571">
        <w:t xml:space="preserve"> </w:t>
      </w:r>
      <w:proofErr w:type="gramStart"/>
      <w:r w:rsidR="003C2571">
        <w:t>a majority of</w:t>
      </w:r>
      <w:proofErr w:type="gramEnd"/>
      <w:r w:rsidR="003C2571">
        <w:t xml:space="preserve"> revenue</w:t>
      </w:r>
      <w:r w:rsidRPr="00E2756F">
        <w:t>. Interviews focused on quantifying operational burden, identifying data consistency challenges, and documenting vendor feedback regarding access preferences and collaborative planning friction.</w:t>
      </w:r>
    </w:p>
    <w:p w14:paraId="3A0ECB87" w14:textId="77777777" w:rsidR="003C2571" w:rsidRDefault="00E2756F" w:rsidP="003C2571">
      <w:pPr>
        <w:pStyle w:val="Heading2"/>
      </w:pPr>
      <w:r w:rsidRPr="00E2756F">
        <w:t>1. Manual Coordination Overhead &amp; Operational Burden</w:t>
      </w:r>
    </w:p>
    <w:p w14:paraId="3E10A060" w14:textId="48A0CA48" w:rsidR="00E2756F" w:rsidRPr="003C2571" w:rsidRDefault="00E2756F" w:rsidP="003C2571">
      <w:pPr>
        <w:pStyle w:val="Heading3"/>
        <w:rPr>
          <w:sz w:val="22"/>
          <w:szCs w:val="32"/>
        </w:rPr>
      </w:pPr>
      <w:r w:rsidRPr="00E2756F">
        <w:t>Time Investment in Data Preparation and Validation</w:t>
      </w:r>
    </w:p>
    <w:p w14:paraId="59B97902" w14:textId="77777777" w:rsidR="003C2571" w:rsidRDefault="00E2756F" w:rsidP="00E2756F">
      <w:pPr>
        <w:rPr>
          <w:szCs w:val="20"/>
        </w:rPr>
      </w:pPr>
      <w:r w:rsidRPr="00E2756F">
        <w:rPr>
          <w:szCs w:val="20"/>
        </w:rPr>
        <w:t>ISMs report consistent weekly time burdens associated with CPFR data preparation, validation, and correction of errors (COE):</w:t>
      </w:r>
    </w:p>
    <w:p w14:paraId="0CC2599C" w14:textId="77777777" w:rsidR="003C2571" w:rsidRDefault="00E2756F" w:rsidP="003C2571">
      <w:pPr>
        <w:pStyle w:val="ListParagraph"/>
        <w:numPr>
          <w:ilvl w:val="0"/>
          <w:numId w:val="1"/>
        </w:numPr>
        <w:tabs>
          <w:tab w:val="clear" w:pos="720"/>
        </w:tabs>
        <w:ind w:left="270" w:hanging="180"/>
        <w:rPr>
          <w:szCs w:val="20"/>
        </w:rPr>
      </w:pPr>
      <w:r w:rsidRPr="003C2571">
        <w:rPr>
          <w:b/>
          <w:bCs/>
          <w:szCs w:val="20"/>
        </w:rPr>
        <w:t>1-2 hours per week</w:t>
      </w:r>
      <w:r w:rsidRPr="003C2571">
        <w:rPr>
          <w:szCs w:val="20"/>
        </w:rPr>
        <w:t>: Typical for relationships with stable data flows and mature CPFR processes</w:t>
      </w:r>
    </w:p>
    <w:p w14:paraId="20D729CC" w14:textId="77777777" w:rsidR="003C2571" w:rsidRDefault="00E2756F" w:rsidP="003C2571">
      <w:pPr>
        <w:pStyle w:val="ListParagraph"/>
        <w:numPr>
          <w:ilvl w:val="0"/>
          <w:numId w:val="1"/>
        </w:numPr>
        <w:tabs>
          <w:tab w:val="clear" w:pos="720"/>
        </w:tabs>
        <w:ind w:left="270" w:hanging="180"/>
        <w:rPr>
          <w:szCs w:val="20"/>
        </w:rPr>
      </w:pPr>
      <w:r w:rsidRPr="003C2571">
        <w:rPr>
          <w:b/>
          <w:bCs/>
          <w:szCs w:val="20"/>
        </w:rPr>
        <w:t>2-3 hours per week</w:t>
      </w:r>
      <w:r w:rsidRPr="003C2571">
        <w:rPr>
          <w:szCs w:val="20"/>
        </w:rPr>
        <w:t>: Common where improved consistency and reduced COE would yield measurable impact</w:t>
      </w:r>
    </w:p>
    <w:p w14:paraId="7B39061B" w14:textId="77777777" w:rsidR="003C2571" w:rsidRDefault="00E2756F" w:rsidP="00E2756F">
      <w:pPr>
        <w:pStyle w:val="ListParagraph"/>
        <w:numPr>
          <w:ilvl w:val="0"/>
          <w:numId w:val="1"/>
        </w:numPr>
        <w:tabs>
          <w:tab w:val="clear" w:pos="720"/>
        </w:tabs>
        <w:ind w:left="270" w:hanging="180"/>
        <w:rPr>
          <w:szCs w:val="20"/>
        </w:rPr>
      </w:pPr>
      <w:r w:rsidRPr="003C2571">
        <w:rPr>
          <w:b/>
          <w:bCs/>
          <w:szCs w:val="20"/>
        </w:rPr>
        <w:t>5+ hours per week</w:t>
      </w:r>
      <w:r w:rsidRPr="003C2571">
        <w:rPr>
          <w:szCs w:val="20"/>
        </w:rPr>
        <w:t>: Reported in cases where email-based data exchange creates unnecessary churn and where CPFR consistency, availability, or COE issues compound</w:t>
      </w:r>
    </w:p>
    <w:p w14:paraId="7145E3E1" w14:textId="5E532505" w:rsidR="00E2756F" w:rsidRPr="00E2756F" w:rsidRDefault="00E2756F" w:rsidP="003C2571">
      <w:pPr>
        <w:ind w:left="90"/>
        <w:rPr>
          <w:szCs w:val="20"/>
        </w:rPr>
      </w:pPr>
      <w:r w:rsidRPr="003C2571">
        <w:rPr>
          <w:szCs w:val="20"/>
        </w:rPr>
        <w:t>These time investments represent capacity diverted from strategic vendor collaboration, root-cause analysis, and proactive planning work.</w:t>
      </w:r>
    </w:p>
    <w:p w14:paraId="21441CF6" w14:textId="1FF9CC00" w:rsidR="00E2756F" w:rsidRPr="00E2756F" w:rsidRDefault="00E2756F" w:rsidP="003C2571">
      <w:pPr>
        <w:pStyle w:val="Heading3"/>
      </w:pPr>
      <w:r w:rsidRPr="00E2756F">
        <w:t>End-of-Period Escalations</w:t>
      </w:r>
    </w:p>
    <w:p w14:paraId="23D3EF36" w14:textId="02D1983E" w:rsidR="00E2756F" w:rsidRPr="00E2756F" w:rsidRDefault="00E2756F" w:rsidP="003C2571">
      <w:r w:rsidRPr="00E2756F">
        <w:t xml:space="preserve">Transportation and minimum order quantity (MOQ) issues create predictable escalation patterns. ISMs report spending </w:t>
      </w:r>
      <w:r w:rsidR="003C2571">
        <w:t xml:space="preserve">up to </w:t>
      </w:r>
      <w:r w:rsidRPr="003C2571">
        <w:rPr>
          <w:b/>
          <w:bCs/>
        </w:rPr>
        <w:t>2 days out of each week</w:t>
      </w:r>
      <w:r w:rsidRPr="00E2756F">
        <w:t xml:space="preserve"> rectifying MOQ and transportation constraints that surface at period boundaries (month-end, quarter-end). While improving visibility around these issues extends beyond the initial CPFR platform scope, the frequency and impact of these escalations underscore the value of incremental feature expansion once foundational portal infrastructure is established.</w:t>
      </w:r>
    </w:p>
    <w:p w14:paraId="7B8483F0" w14:textId="7D5551FE" w:rsidR="00E2756F" w:rsidRPr="00E2756F" w:rsidRDefault="00E2756F" w:rsidP="003C2571">
      <w:pPr>
        <w:pStyle w:val="Heading3"/>
      </w:pPr>
      <w:r w:rsidRPr="00E2756F">
        <w:t>Discontinued SKU Management</w:t>
      </w:r>
    </w:p>
    <w:p w14:paraId="25C68BB2" w14:textId="77777777" w:rsidR="00E2756F" w:rsidRPr="00E2756F" w:rsidRDefault="00E2756F" w:rsidP="003C2571">
      <w:r w:rsidRPr="00E2756F">
        <w:t>Substantial ISM time is consumed rectifying discontinued SKU status and cleanup. This represents recurring operational friction that could be streamlined through improved data visibility and self-service capabilities.</w:t>
      </w:r>
    </w:p>
    <w:p w14:paraId="4DE6D142" w14:textId="052FE745" w:rsidR="00E2756F" w:rsidRPr="00E2756F" w:rsidRDefault="00E2756F" w:rsidP="003C2571">
      <w:pPr>
        <w:pStyle w:val="Heading2"/>
      </w:pPr>
      <w:r w:rsidRPr="00E2756F">
        <w:t>2. Data Visibility &amp; Consistency Challenges</w:t>
      </w:r>
    </w:p>
    <w:p w14:paraId="53576D5B" w14:textId="0356B6A9" w:rsidR="00E2756F" w:rsidRPr="00E2756F" w:rsidRDefault="00E2756F" w:rsidP="003C2571">
      <w:pPr>
        <w:pStyle w:val="Heading3"/>
      </w:pPr>
      <w:r w:rsidRPr="00E2756F">
        <w:t>Net Ordering Position (NOP) Visibility</w:t>
      </w:r>
    </w:p>
    <w:p w14:paraId="32D20D84" w14:textId="77777777" w:rsidR="00E2756F" w:rsidRPr="00E2756F" w:rsidRDefault="00E2756F" w:rsidP="00C373ED">
      <w:r w:rsidRPr="00E2756F">
        <w:t>NOP data requires enhanced visibility with daily (or more frequent) cadence to effectively track when corrections have been absorbed into planning cycles. Current weekly cadence creates delays in understanding whether corrective actions have taken effect, extending the feedback loop between issue identification and validation.</w:t>
      </w:r>
    </w:p>
    <w:p w14:paraId="3A6B7D64" w14:textId="11F9184E" w:rsidR="00E2756F" w:rsidRPr="00E2756F" w:rsidRDefault="00E2756F" w:rsidP="00C373ED">
      <w:pPr>
        <w:pStyle w:val="Heading3"/>
      </w:pPr>
      <w:r w:rsidRPr="00E2756F">
        <w:t>Future Availability Date (FAD) Lists</w:t>
      </w:r>
    </w:p>
    <w:p w14:paraId="0F328DDF" w14:textId="0B63A2F7" w:rsidR="00E2756F" w:rsidRPr="00E2756F" w:rsidRDefault="00E2756F" w:rsidP="00E2756F">
      <w:pPr>
        <w:rPr>
          <w:szCs w:val="20"/>
        </w:rPr>
      </w:pPr>
      <w:r w:rsidRPr="00E2756F">
        <w:rPr>
          <w:szCs w:val="20"/>
        </w:rPr>
        <w:t xml:space="preserve">FAD lists </w:t>
      </w:r>
      <w:proofErr w:type="gramStart"/>
      <w:r w:rsidRPr="00E2756F">
        <w:rPr>
          <w:szCs w:val="20"/>
        </w:rPr>
        <w:t>signal</w:t>
      </w:r>
      <w:proofErr w:type="gramEnd"/>
      <w:r w:rsidRPr="00E2756F">
        <w:rPr>
          <w:szCs w:val="20"/>
        </w:rPr>
        <w:t xml:space="preserve"> </w:t>
      </w:r>
      <w:proofErr w:type="gramStart"/>
      <w:r w:rsidRPr="00E2756F">
        <w:rPr>
          <w:szCs w:val="20"/>
        </w:rPr>
        <w:t>to</w:t>
      </w:r>
      <w:proofErr w:type="gramEnd"/>
      <w:r w:rsidRPr="00E2756F">
        <w:rPr>
          <w:szCs w:val="20"/>
        </w:rPr>
        <w:t xml:space="preserve"> ordering automation when to pause orders until a specified future date. These require broader </w:t>
      </w:r>
      <w:proofErr w:type="gramStart"/>
      <w:r w:rsidRPr="00E2756F">
        <w:rPr>
          <w:szCs w:val="20"/>
        </w:rPr>
        <w:t>visibility—</w:t>
      </w:r>
      <w:proofErr w:type="gramEnd"/>
      <w:r w:rsidRPr="00E2756F">
        <w:rPr>
          <w:szCs w:val="20"/>
        </w:rPr>
        <w:t>preferably real-</w:t>
      </w:r>
      <w:proofErr w:type="gramStart"/>
      <w:r w:rsidRPr="00E2756F">
        <w:rPr>
          <w:szCs w:val="20"/>
        </w:rPr>
        <w:t>time—</w:t>
      </w:r>
      <w:proofErr w:type="gramEnd"/>
      <w:r w:rsidRPr="00E2756F">
        <w:rPr>
          <w:szCs w:val="20"/>
        </w:rPr>
        <w:t>to ensure updates are reflected immediately across all stakeholders. Current fragmented visibility creates coordination gaps between vendor manufacturing schedules and Chewy ordering systems.</w:t>
      </w:r>
    </w:p>
    <w:p w14:paraId="464F3165" w14:textId="39E3A3B5" w:rsidR="00E2756F" w:rsidRPr="00C373ED" w:rsidRDefault="00E2756F" w:rsidP="00C373ED">
      <w:pPr>
        <w:pStyle w:val="Heading3"/>
      </w:pPr>
      <w:r w:rsidRPr="00E2756F">
        <w:t>New Item Forecasting</w:t>
      </w:r>
    </w:p>
    <w:p w14:paraId="6726BEE3" w14:textId="77777777" w:rsidR="00E2756F" w:rsidRPr="00E2756F" w:rsidRDefault="00E2756F" w:rsidP="00C373ED">
      <w:r w:rsidRPr="00E2756F">
        <w:t xml:space="preserve">New product introductions require forecast publication substantially sooner than current processes allow. Typical NPI forecasting takes multiple cycles to stabilize, creating </w:t>
      </w:r>
      <w:proofErr w:type="gramStart"/>
      <w:r w:rsidRPr="00E2756F">
        <w:t>early-stage</w:t>
      </w:r>
      <w:proofErr w:type="gramEnd"/>
      <w:r w:rsidRPr="00E2756F">
        <w:t xml:space="preserve"> planning friction. While CPFR data access improvements may not directly accelerate NPI forecast generation, platform capabilities can support faster distribution once forecasts are available.</w:t>
      </w:r>
    </w:p>
    <w:p w14:paraId="4F7B742E" w14:textId="20CE9BE0" w:rsidR="00E2756F" w:rsidRPr="00E2756F" w:rsidRDefault="00E2756F" w:rsidP="00C373ED">
      <w:pPr>
        <w:pStyle w:val="Heading3"/>
      </w:pPr>
      <w:r w:rsidRPr="00E2756F">
        <w:lastRenderedPageBreak/>
        <w:t>Forecast Mismatch Thresholds &amp; Promotional Tensions</w:t>
      </w:r>
    </w:p>
    <w:p w14:paraId="31FB4B33" w14:textId="5127A877" w:rsidR="00E2756F" w:rsidRPr="00E2756F" w:rsidRDefault="00E2756F" w:rsidP="00C373ED">
      <w:r w:rsidRPr="00E2756F">
        <w:t>Forecast accuracy thresholds create significant financial exposure when misaligned with promotional sales goals. Threshold misses directly impact vendor payback guarantees, creating incentives that can drive inefficient inventory decisions.</w:t>
      </w:r>
    </w:p>
    <w:p w14:paraId="319DC27C" w14:textId="59CB2A8D" w:rsidR="00E2756F" w:rsidRPr="00E2756F" w:rsidRDefault="00C373ED" w:rsidP="00C373ED">
      <w:r>
        <w:t>Past</w:t>
      </w:r>
      <w:r w:rsidR="00E2756F" w:rsidRPr="00E2756F">
        <w:t xml:space="preserve"> instance</w:t>
      </w:r>
      <w:r>
        <w:t>s</w:t>
      </w:r>
      <w:r w:rsidR="00E2756F" w:rsidRPr="00E2756F">
        <w:t xml:space="preserve"> of threshold-driven forecast mismatch resulted in approximately **$5 million in unwarranted buy-up** due to unclear visibility into forecast accuracy relative to promotional expectations. Based on analysis of recurring threshold miss patterns, this issue class represents an estimated **$15 million annually** in avoidable cost if not corrected through improved data visibility and governance.</w:t>
      </w:r>
    </w:p>
    <w:p w14:paraId="0C3ACBAB" w14:textId="77777777" w:rsidR="00E2756F" w:rsidRPr="00E2756F" w:rsidRDefault="00E2756F" w:rsidP="00C373ED">
      <w:r w:rsidRPr="00E2756F">
        <w:t xml:space="preserve">The structural tension between promotional incentives (which increase buy-up pressure) and in-stock efficiency goals (which prioritize inventory optimization) </w:t>
      </w:r>
      <w:proofErr w:type="gramStart"/>
      <w:r w:rsidRPr="00E2756F">
        <w:t>creates</w:t>
      </w:r>
      <w:proofErr w:type="gramEnd"/>
      <w:r w:rsidRPr="00E2756F">
        <w:t xml:space="preserve"> recurring exposure. Major vendor relationships experience this dynamic at least annually, making improved forecast visibility and consistent data sharing critical to reducing financial waste.</w:t>
      </w:r>
    </w:p>
    <w:p w14:paraId="0CF7AB1E" w14:textId="5C24465C" w:rsidR="00E2756F" w:rsidRPr="00E2756F" w:rsidRDefault="00E2756F" w:rsidP="00C373ED">
      <w:pPr>
        <w:pStyle w:val="Heading2"/>
      </w:pPr>
      <w:r w:rsidRPr="00E2756F">
        <w:t>3. Vendor Self-Service Preferences &amp; API Demand</w:t>
      </w:r>
    </w:p>
    <w:p w14:paraId="1B1E7A2E" w14:textId="21482BFB" w:rsidR="00E2756F" w:rsidRPr="00E2756F" w:rsidRDefault="00E2756F" w:rsidP="00C373ED">
      <w:pPr>
        <w:pStyle w:val="Heading3"/>
      </w:pPr>
      <w:r w:rsidRPr="00E2756F">
        <w:t>Direct Vendor Feedback: API Access Preference</w:t>
      </w:r>
    </w:p>
    <w:p w14:paraId="3750522E" w14:textId="6B859156" w:rsidR="00E2756F" w:rsidRPr="00E2756F" w:rsidRDefault="00E2756F" w:rsidP="00E2756F">
      <w:pPr>
        <w:rPr>
          <w:szCs w:val="20"/>
        </w:rPr>
      </w:pPr>
      <w:r w:rsidRPr="00E2756F">
        <w:rPr>
          <w:szCs w:val="20"/>
        </w:rPr>
        <w:t>In conference calls, **Blue Buffalo** expressed distinct preference for API access to CPFR data, explicitly weighing this capability against the cost of VDS tenancy (3% of COGS up to $400K plus $250K). Blue Buffalo characterized current email-based CPFR data transmission as a "struggle" and indicated that API availability would be a significant decision factor in their vendor data services investment evaluation.</w:t>
      </w:r>
    </w:p>
    <w:p w14:paraId="1F6D906B" w14:textId="7D7B378B" w:rsidR="00E2756F" w:rsidRPr="00E2756F" w:rsidRDefault="00E2756F" w:rsidP="00E2756F">
      <w:pPr>
        <w:rPr>
          <w:szCs w:val="20"/>
        </w:rPr>
      </w:pPr>
      <w:r w:rsidRPr="00E2756F">
        <w:rPr>
          <w:szCs w:val="20"/>
        </w:rPr>
        <w:t xml:space="preserve">This preference echoes previous statements from </w:t>
      </w:r>
      <w:r w:rsidRPr="00C373ED">
        <w:rPr>
          <w:b/>
          <w:bCs/>
          <w:szCs w:val="20"/>
        </w:rPr>
        <w:t>Mars</w:t>
      </w:r>
      <w:r w:rsidRPr="00E2756F">
        <w:rPr>
          <w:szCs w:val="20"/>
        </w:rPr>
        <w:t xml:space="preserve"> and </w:t>
      </w:r>
      <w:r w:rsidRPr="00C373ED">
        <w:rPr>
          <w:b/>
          <w:bCs/>
          <w:szCs w:val="20"/>
        </w:rPr>
        <w:t>Nestle-Purina</w:t>
      </w:r>
      <w:r w:rsidRPr="00E2756F">
        <w:rPr>
          <w:szCs w:val="20"/>
        </w:rPr>
        <w:t>—the two largest vendors in the CPFR program. The consistency of this feedback across major vendor relationships indicates that API access is not an isolated request but a systematic preference among sophisticated vendor partners.</w:t>
      </w:r>
    </w:p>
    <w:p w14:paraId="0882F3A6" w14:textId="6896251B" w:rsidR="00E2756F" w:rsidRPr="00E2756F" w:rsidRDefault="00E2756F" w:rsidP="00C373ED">
      <w:pPr>
        <w:pStyle w:val="Heading3"/>
      </w:pPr>
      <w:r w:rsidRPr="00E2756F">
        <w:t>Portal Access Prioritization</w:t>
      </w:r>
    </w:p>
    <w:p w14:paraId="34D25CB8" w14:textId="19F41360" w:rsidR="00E2756F" w:rsidRPr="00E2756F" w:rsidRDefault="00E2756F" w:rsidP="00E2756F">
      <w:pPr>
        <w:rPr>
          <w:szCs w:val="20"/>
        </w:rPr>
      </w:pPr>
      <w:r w:rsidRPr="00E2756F">
        <w:rPr>
          <w:szCs w:val="20"/>
        </w:rPr>
        <w:t>Vendor feedback emphasizes portal access over advanced thresholding or signaling features for initial rollout. Self-service data access is viewed as delivering greater immediate value in both vendor-Chewy alignment and collaborative follow-up than incremental analytical sophistication. This suggests a clear implementation priority: establish reliable self-service access first, then expand analytical capabilities based on adoption patterns.</w:t>
      </w:r>
    </w:p>
    <w:p w14:paraId="5FFDD0E5" w14:textId="1D6A0485" w:rsidR="00E2756F" w:rsidRPr="00E2756F" w:rsidRDefault="00E2756F" w:rsidP="00C373ED">
      <w:pPr>
        <w:pStyle w:val="Heading3"/>
      </w:pPr>
      <w:r w:rsidRPr="00E2756F">
        <w:t>Daily Data Cadence Requirements</w:t>
      </w:r>
    </w:p>
    <w:p w14:paraId="2743DDE0" w14:textId="7F3A8354" w:rsidR="00E2756F" w:rsidRPr="00E2756F" w:rsidRDefault="00E2756F" w:rsidP="00E2756F">
      <w:pPr>
        <w:rPr>
          <w:szCs w:val="20"/>
        </w:rPr>
      </w:pPr>
      <w:r w:rsidRPr="00E2756F">
        <w:rPr>
          <w:szCs w:val="20"/>
        </w:rPr>
        <w:t xml:space="preserve">Vendors have explicitly requested </w:t>
      </w:r>
      <w:r w:rsidRPr="00C373ED">
        <w:rPr>
          <w:b/>
          <w:bCs/>
          <w:szCs w:val="20"/>
        </w:rPr>
        <w:t>daily-available data</w:t>
      </w:r>
      <w:r w:rsidRPr="00E2756F">
        <w:rPr>
          <w:szCs w:val="20"/>
        </w:rPr>
        <w:t xml:space="preserve"> via portal, particularly for:</w:t>
      </w:r>
    </w:p>
    <w:p w14:paraId="71A39770" w14:textId="42EEF025" w:rsidR="00E2756F" w:rsidRPr="00C373ED" w:rsidRDefault="00E2756F" w:rsidP="00C373ED">
      <w:pPr>
        <w:pStyle w:val="ListParagraph"/>
        <w:numPr>
          <w:ilvl w:val="0"/>
          <w:numId w:val="12"/>
        </w:numPr>
        <w:ind w:left="270" w:hanging="180"/>
        <w:rPr>
          <w:szCs w:val="20"/>
        </w:rPr>
      </w:pPr>
      <w:r w:rsidRPr="00C373ED">
        <w:rPr>
          <w:szCs w:val="20"/>
        </w:rPr>
        <w:t>PDP out-of-stock (OOS) metrics</w:t>
      </w:r>
    </w:p>
    <w:p w14:paraId="2BF5A551" w14:textId="00818AEE" w:rsidR="00E2756F" w:rsidRPr="00C373ED" w:rsidRDefault="00E2756F" w:rsidP="00C373ED">
      <w:pPr>
        <w:pStyle w:val="ListParagraph"/>
        <w:numPr>
          <w:ilvl w:val="0"/>
          <w:numId w:val="12"/>
        </w:numPr>
        <w:ind w:left="270" w:hanging="180"/>
        <w:rPr>
          <w:szCs w:val="20"/>
        </w:rPr>
      </w:pPr>
      <w:r w:rsidRPr="00C373ED">
        <w:rPr>
          <w:szCs w:val="20"/>
        </w:rPr>
        <w:t>Fill rate performance</w:t>
      </w:r>
    </w:p>
    <w:p w14:paraId="09D3D132" w14:textId="22061A3C" w:rsidR="00E2756F" w:rsidRPr="00C373ED" w:rsidRDefault="00E2756F" w:rsidP="00C373ED">
      <w:pPr>
        <w:pStyle w:val="ListParagraph"/>
        <w:numPr>
          <w:ilvl w:val="0"/>
          <w:numId w:val="12"/>
        </w:numPr>
        <w:ind w:left="270" w:hanging="180"/>
        <w:rPr>
          <w:szCs w:val="20"/>
        </w:rPr>
      </w:pPr>
      <w:r w:rsidRPr="00C373ED">
        <w:rPr>
          <w:szCs w:val="20"/>
        </w:rPr>
        <w:t>Forecast updates</w:t>
      </w:r>
    </w:p>
    <w:p w14:paraId="4DA95944" w14:textId="77777777" w:rsidR="006E4789" w:rsidRDefault="00E2756F" w:rsidP="00E2756F">
      <w:pPr>
        <w:rPr>
          <w:szCs w:val="20"/>
        </w:rPr>
      </w:pPr>
      <w:r w:rsidRPr="00E2756F">
        <w:rPr>
          <w:szCs w:val="20"/>
        </w:rPr>
        <w:t>Recovery cycles for PDP and fill rate issues often occur over days rather than weeks, making weekly data cadence insufficient for responsive corrective action. Daily availability is estimated to save approximately **1 hour per week** in coordination overhead per affected vendor relationship, while enabling **50% improvement in OOS recovery** for affected items.</w:t>
      </w:r>
    </w:p>
    <w:p w14:paraId="29F0C50B" w14:textId="692864A1" w:rsidR="00E2756F" w:rsidRPr="00E2756F" w:rsidRDefault="00E2756F" w:rsidP="00E2756F">
      <w:pPr>
        <w:rPr>
          <w:szCs w:val="20"/>
        </w:rPr>
      </w:pPr>
      <w:r w:rsidRPr="00E2756F">
        <w:rPr>
          <w:szCs w:val="20"/>
        </w:rPr>
        <w:t xml:space="preserve">While affected items represent approximately 0.1% of company-wide OOS, they trend toward outlier </w:t>
      </w:r>
      <w:proofErr w:type="gramStart"/>
      <w:r w:rsidRPr="00E2756F">
        <w:rPr>
          <w:szCs w:val="20"/>
        </w:rPr>
        <w:t>status—</w:t>
      </w:r>
      <w:proofErr w:type="gramEnd"/>
      <w:r w:rsidRPr="00E2756F">
        <w:rPr>
          <w:szCs w:val="20"/>
        </w:rPr>
        <w:t xml:space="preserve">suggesting the impacted inventory pool may approach 1% for the vendor </w:t>
      </w:r>
      <w:proofErr w:type="gramStart"/>
      <w:r w:rsidRPr="00E2756F">
        <w:rPr>
          <w:szCs w:val="20"/>
        </w:rPr>
        <w:t>cohort</w:t>
      </w:r>
      <w:proofErr w:type="gramEnd"/>
      <w:r w:rsidRPr="00E2756F">
        <w:rPr>
          <w:szCs w:val="20"/>
        </w:rPr>
        <w:t xml:space="preserve"> most likely to use daily data for rapid response.</w:t>
      </w:r>
    </w:p>
    <w:p w14:paraId="0ADC236C" w14:textId="17E987EE" w:rsidR="00E2756F" w:rsidRPr="00E2756F" w:rsidRDefault="00E2756F" w:rsidP="00C373ED">
      <w:pPr>
        <w:pStyle w:val="Heading2"/>
      </w:pPr>
      <w:r w:rsidRPr="00E2756F">
        <w:t>4. SKU and Vendor Number Assignment Cleanup</w:t>
      </w:r>
    </w:p>
    <w:p w14:paraId="3A47AA58" w14:textId="77777777" w:rsidR="00E2756F" w:rsidRPr="00E2756F" w:rsidRDefault="00E2756F" w:rsidP="00E2756F">
      <w:pPr>
        <w:rPr>
          <w:szCs w:val="20"/>
        </w:rPr>
      </w:pPr>
      <w:r w:rsidRPr="00E2756F">
        <w:rPr>
          <w:szCs w:val="20"/>
        </w:rPr>
        <w:t>Visibility into unused-but-not-deactivated vendor numbers and agreement lines would facilitate cleanup of a particularly insidious data quality issue: price discrepancies between active and obsolete vendor numbers for the same SKU.</w:t>
      </w:r>
    </w:p>
    <w:p w14:paraId="7ED8F92A" w14:textId="0D151343" w:rsidR="00E2756F" w:rsidRPr="00E2756F" w:rsidRDefault="00E2756F" w:rsidP="006E4789">
      <w:pPr>
        <w:rPr>
          <w:szCs w:val="20"/>
        </w:rPr>
      </w:pPr>
      <w:r w:rsidRPr="00C373ED">
        <w:rPr>
          <w:b/>
          <w:bCs/>
          <w:szCs w:val="20"/>
        </w:rPr>
        <w:t>Example scenario</w:t>
      </w:r>
      <w:r w:rsidRPr="00E2756F">
        <w:rPr>
          <w:szCs w:val="20"/>
        </w:rPr>
        <w:t xml:space="preserve">: A vendor's primary vendor number receives a price increase (reflected in the active agreement). However, an obsolete vendor number tied to the same SKU—with a lower historical price—remains active but does not receive price updates. This </w:t>
      </w:r>
      <w:proofErr w:type="gramStart"/>
      <w:r w:rsidRPr="00E2756F">
        <w:rPr>
          <w:szCs w:val="20"/>
        </w:rPr>
        <w:t>creates ordering</w:t>
      </w:r>
      <w:proofErr w:type="gramEnd"/>
      <w:r w:rsidRPr="00E2756F">
        <w:rPr>
          <w:szCs w:val="20"/>
        </w:rPr>
        <w:t xml:space="preserve"> confusion and potential cost discrepancies.</w:t>
      </w:r>
    </w:p>
    <w:p w14:paraId="64DBCA33" w14:textId="77777777" w:rsidR="00E2756F" w:rsidRPr="00E2756F" w:rsidRDefault="00E2756F" w:rsidP="006E4789">
      <w:pPr>
        <w:pStyle w:val="Heading4"/>
      </w:pPr>
      <w:r w:rsidRPr="00E2756F">
        <w:lastRenderedPageBreak/>
        <w:t>This issue is especially acute because:</w:t>
      </w:r>
    </w:p>
    <w:p w14:paraId="5EE8EFCD" w14:textId="2FC2B122" w:rsidR="00E2756F" w:rsidRPr="00C373ED" w:rsidRDefault="00E2756F" w:rsidP="00C373ED">
      <w:pPr>
        <w:pStyle w:val="ListParagraph"/>
        <w:numPr>
          <w:ilvl w:val="0"/>
          <w:numId w:val="13"/>
        </w:numPr>
        <w:ind w:left="270" w:hanging="180"/>
        <w:rPr>
          <w:szCs w:val="20"/>
        </w:rPr>
      </w:pPr>
      <w:r w:rsidRPr="00C373ED">
        <w:rPr>
          <w:szCs w:val="20"/>
        </w:rPr>
        <w:t>Vendors typically do not know their own vendor numbers</w:t>
      </w:r>
    </w:p>
    <w:p w14:paraId="29446D2E" w14:textId="1290D793" w:rsidR="00E2756F" w:rsidRPr="00C373ED" w:rsidRDefault="00E2756F" w:rsidP="00C373ED">
      <w:pPr>
        <w:pStyle w:val="ListParagraph"/>
        <w:numPr>
          <w:ilvl w:val="0"/>
          <w:numId w:val="13"/>
        </w:numPr>
        <w:ind w:left="270" w:hanging="180"/>
        <w:rPr>
          <w:szCs w:val="20"/>
        </w:rPr>
      </w:pPr>
      <w:r w:rsidRPr="00C373ED">
        <w:rPr>
          <w:szCs w:val="20"/>
        </w:rPr>
        <w:t>Vendor numbers are not easily searchable</w:t>
      </w:r>
    </w:p>
    <w:p w14:paraId="411D5228" w14:textId="26DEF902" w:rsidR="00E2756F" w:rsidRPr="00C373ED" w:rsidRDefault="00E2756F" w:rsidP="00C373ED">
      <w:pPr>
        <w:pStyle w:val="ListParagraph"/>
        <w:numPr>
          <w:ilvl w:val="0"/>
          <w:numId w:val="13"/>
        </w:numPr>
        <w:ind w:left="270" w:hanging="180"/>
        <w:rPr>
          <w:szCs w:val="20"/>
        </w:rPr>
      </w:pPr>
      <w:r w:rsidRPr="00C373ED">
        <w:rPr>
          <w:szCs w:val="20"/>
        </w:rPr>
        <w:t>Portal ticket submissions lack fields for vendor number entry</w:t>
      </w:r>
    </w:p>
    <w:p w14:paraId="1CE59735" w14:textId="334888BB" w:rsidR="00E2756F" w:rsidRPr="00C373ED" w:rsidRDefault="00E2756F" w:rsidP="00C373ED">
      <w:pPr>
        <w:pStyle w:val="ListParagraph"/>
        <w:numPr>
          <w:ilvl w:val="0"/>
          <w:numId w:val="13"/>
        </w:numPr>
        <w:ind w:left="270" w:hanging="180"/>
        <w:rPr>
          <w:szCs w:val="20"/>
        </w:rPr>
      </w:pPr>
      <w:r w:rsidRPr="00C373ED">
        <w:rPr>
          <w:szCs w:val="20"/>
        </w:rPr>
        <w:t>Long-term vendors often accumulate multiple active agreements and vendor numbers, plus expired/inactive entries</w:t>
      </w:r>
    </w:p>
    <w:p w14:paraId="2A65F13F" w14:textId="03C3D23B" w:rsidR="00E2756F" w:rsidRPr="00E2756F" w:rsidRDefault="00E2756F" w:rsidP="00E2756F">
      <w:pPr>
        <w:rPr>
          <w:szCs w:val="20"/>
        </w:rPr>
      </w:pPr>
      <w:r w:rsidRPr="00E2756F">
        <w:rPr>
          <w:szCs w:val="20"/>
        </w:rPr>
        <w:t>Improved visibility would help prevent items from being added to incorrect vendor numbers and enable systematic cleanup of legacy data structures.</w:t>
      </w:r>
    </w:p>
    <w:p w14:paraId="4C422AA8" w14:textId="22FDF03B" w:rsidR="00E2756F" w:rsidRPr="00C373ED" w:rsidRDefault="00E2756F" w:rsidP="00C373ED">
      <w:pPr>
        <w:pStyle w:val="Heading2"/>
      </w:pPr>
      <w:r w:rsidRPr="00E2756F">
        <w:t>Summary of Quantified Impacts</w:t>
      </w:r>
    </w:p>
    <w:p w14:paraId="216B4A5F" w14:textId="77777777" w:rsidR="00E2756F" w:rsidRPr="00E2756F" w:rsidRDefault="00E2756F" w:rsidP="00E2756F">
      <w:pPr>
        <w:rPr>
          <w:szCs w:val="20"/>
        </w:rPr>
      </w:pPr>
      <w:r w:rsidRPr="00E2756F">
        <w:rPr>
          <w:szCs w:val="20"/>
        </w:rPr>
        <w:t>The survey evidence documents measurable operational burden and financial exposure:</w:t>
      </w:r>
    </w:p>
    <w:p w14:paraId="68B10D3C" w14:textId="77777777" w:rsidR="00C373ED" w:rsidRDefault="00E2756F" w:rsidP="00C373ED">
      <w:pPr>
        <w:pStyle w:val="Heading4"/>
      </w:pPr>
      <w:r w:rsidRPr="00C373ED">
        <w:rPr>
          <w:b w:val="0"/>
        </w:rPr>
        <w:t>Time burden reduction opportunities</w:t>
      </w:r>
      <w:r w:rsidRPr="00E2756F">
        <w:t>:</w:t>
      </w:r>
    </w:p>
    <w:p w14:paraId="13F72404" w14:textId="20549A52" w:rsidR="00E2756F" w:rsidRPr="00C373ED" w:rsidRDefault="00E2756F" w:rsidP="00C373ED">
      <w:pPr>
        <w:pStyle w:val="ListParagraph"/>
        <w:numPr>
          <w:ilvl w:val="0"/>
          <w:numId w:val="19"/>
        </w:numPr>
        <w:ind w:left="270" w:hanging="180"/>
        <w:rPr>
          <w:szCs w:val="20"/>
        </w:rPr>
      </w:pPr>
      <w:r w:rsidRPr="00C373ED">
        <w:rPr>
          <w:szCs w:val="20"/>
        </w:rPr>
        <w:t>1-5 hours per ISM per week in CPFR data preparation and COE</w:t>
      </w:r>
    </w:p>
    <w:p w14:paraId="0B2D5924" w14:textId="7FDA7149" w:rsidR="00E2756F" w:rsidRPr="00C373ED" w:rsidRDefault="00E2756F" w:rsidP="00C373ED">
      <w:pPr>
        <w:pStyle w:val="ListParagraph"/>
        <w:numPr>
          <w:ilvl w:val="0"/>
          <w:numId w:val="19"/>
        </w:numPr>
        <w:ind w:left="270" w:hanging="180"/>
        <w:rPr>
          <w:szCs w:val="20"/>
        </w:rPr>
      </w:pPr>
      <w:r w:rsidRPr="00C373ED">
        <w:rPr>
          <w:szCs w:val="20"/>
        </w:rPr>
        <w:t>~2 days per week addressing MOQ/transportation escalations (opportunity for incremental feature expansion)</w:t>
      </w:r>
    </w:p>
    <w:p w14:paraId="65C16995" w14:textId="21E16C73" w:rsidR="00E2756F" w:rsidRPr="00C373ED" w:rsidRDefault="00E2756F" w:rsidP="00C373ED">
      <w:pPr>
        <w:pStyle w:val="ListParagraph"/>
        <w:numPr>
          <w:ilvl w:val="0"/>
          <w:numId w:val="19"/>
        </w:numPr>
        <w:ind w:left="270" w:hanging="180"/>
        <w:rPr>
          <w:szCs w:val="20"/>
        </w:rPr>
      </w:pPr>
      <w:r w:rsidRPr="00C373ED">
        <w:rPr>
          <w:szCs w:val="20"/>
        </w:rPr>
        <w:t>~1 hour per week per vendor relationship through daily data availability</w:t>
      </w:r>
    </w:p>
    <w:p w14:paraId="36F37B29" w14:textId="2C336DCE" w:rsidR="00E2756F" w:rsidRPr="00C373ED" w:rsidRDefault="00E2756F" w:rsidP="00C373ED">
      <w:pPr>
        <w:pStyle w:val="Heading4"/>
      </w:pPr>
      <w:r w:rsidRPr="00C373ED">
        <w:t>Financial impact from improved visibility:</w:t>
      </w:r>
    </w:p>
    <w:p w14:paraId="35C8B4A1" w14:textId="15E5F71C" w:rsidR="00E2756F" w:rsidRPr="00C373ED" w:rsidRDefault="00E2756F" w:rsidP="00C373ED">
      <w:pPr>
        <w:pStyle w:val="ListParagraph"/>
        <w:numPr>
          <w:ilvl w:val="0"/>
          <w:numId w:val="15"/>
        </w:numPr>
        <w:ind w:left="270" w:hanging="180"/>
        <w:rPr>
          <w:szCs w:val="20"/>
        </w:rPr>
      </w:pPr>
      <w:r w:rsidRPr="00C373ED">
        <w:rPr>
          <w:szCs w:val="20"/>
        </w:rPr>
        <w:t>$5M documented cost avoidance case (single threshold mismatch event)</w:t>
      </w:r>
    </w:p>
    <w:p w14:paraId="6FC64B11" w14:textId="22E3B016" w:rsidR="00E2756F" w:rsidRPr="00C373ED" w:rsidRDefault="00E2756F" w:rsidP="00C373ED">
      <w:pPr>
        <w:pStyle w:val="ListParagraph"/>
        <w:numPr>
          <w:ilvl w:val="0"/>
          <w:numId w:val="15"/>
        </w:numPr>
        <w:ind w:left="270" w:hanging="180"/>
        <w:rPr>
          <w:szCs w:val="20"/>
        </w:rPr>
      </w:pPr>
      <w:r w:rsidRPr="00C373ED">
        <w:rPr>
          <w:szCs w:val="20"/>
        </w:rPr>
        <w:t>~$15M estimated annual exposure from recurring forecast threshold issues</w:t>
      </w:r>
    </w:p>
    <w:p w14:paraId="5C345300" w14:textId="2D068A6A" w:rsidR="00E2756F" w:rsidRPr="00E2756F" w:rsidRDefault="00E2756F" w:rsidP="00C373ED">
      <w:pPr>
        <w:pStyle w:val="Heading4"/>
      </w:pPr>
      <w:r w:rsidRPr="00C373ED">
        <w:t>Vendor relationship evidence</w:t>
      </w:r>
      <w:r w:rsidRPr="00E2756F">
        <w:t>:</w:t>
      </w:r>
    </w:p>
    <w:p w14:paraId="5E610F00" w14:textId="7A789422" w:rsidR="00E2756F" w:rsidRPr="00C373ED" w:rsidRDefault="00E2756F" w:rsidP="00C373ED">
      <w:pPr>
        <w:pStyle w:val="ListParagraph"/>
        <w:numPr>
          <w:ilvl w:val="0"/>
          <w:numId w:val="14"/>
        </w:numPr>
        <w:ind w:left="270" w:hanging="180"/>
        <w:rPr>
          <w:szCs w:val="20"/>
        </w:rPr>
      </w:pPr>
      <w:r w:rsidRPr="00C373ED">
        <w:rPr>
          <w:szCs w:val="20"/>
        </w:rPr>
        <w:t>Consistent API access preference across major vendors (Blue Buffalo, Mars, Nestle-Purina)</w:t>
      </w:r>
    </w:p>
    <w:p w14:paraId="4C895156" w14:textId="363055DF" w:rsidR="00E2756F" w:rsidRPr="00C373ED" w:rsidRDefault="00E2756F" w:rsidP="00C373ED">
      <w:pPr>
        <w:pStyle w:val="ListParagraph"/>
        <w:numPr>
          <w:ilvl w:val="0"/>
          <w:numId w:val="14"/>
        </w:numPr>
        <w:ind w:left="270" w:hanging="180"/>
        <w:rPr>
          <w:szCs w:val="20"/>
        </w:rPr>
      </w:pPr>
      <w:r w:rsidRPr="00C373ED">
        <w:rPr>
          <w:szCs w:val="20"/>
        </w:rPr>
        <w:t>Explicit daily data cadence requirements for operational responsiveness</w:t>
      </w:r>
    </w:p>
    <w:p w14:paraId="4B021E04" w14:textId="1A0D4CEE" w:rsidR="00E2756F" w:rsidRPr="00C373ED" w:rsidRDefault="00E2756F" w:rsidP="00C373ED">
      <w:pPr>
        <w:pStyle w:val="ListParagraph"/>
        <w:numPr>
          <w:ilvl w:val="0"/>
          <w:numId w:val="14"/>
        </w:numPr>
        <w:ind w:left="270" w:hanging="180"/>
        <w:rPr>
          <w:szCs w:val="20"/>
        </w:rPr>
      </w:pPr>
      <w:r w:rsidRPr="00C373ED">
        <w:rPr>
          <w:szCs w:val="20"/>
        </w:rPr>
        <w:t>Clear prioritization of portal self-service over advanced analytical features</w:t>
      </w:r>
    </w:p>
    <w:p w14:paraId="1FDEC6EC" w14:textId="77777777" w:rsidR="006E4789" w:rsidRDefault="00E2756F" w:rsidP="00E2756F">
      <w:pPr>
        <w:rPr>
          <w:szCs w:val="20"/>
        </w:rPr>
      </w:pPr>
      <w:r w:rsidRPr="00E2756F">
        <w:rPr>
          <w:szCs w:val="20"/>
        </w:rPr>
        <w:t>This evidence base supports the business case for CPFR platform modernization by documenting specific, quantifiable pain points experienced by senior ISMs managing substantial vendor relationship portfolios. The convergence of operational burden, financial exposure, and vendor demand creates a compelling case for investment in governed data infrastructure and self-service portal capabilities.</w:t>
      </w:r>
    </w:p>
    <w:p w14:paraId="77C99284" w14:textId="66BB0E39" w:rsidR="00B951AE" w:rsidRDefault="00B951AE" w:rsidP="00D64CBF">
      <w:pPr>
        <w:pStyle w:val="Heading1"/>
      </w:pPr>
      <w:r>
        <w:t>Appendix 3: Architectural Summary</w:t>
      </w:r>
      <w:r w:rsidR="00F42790">
        <w:t xml:space="preserve"> (Platform)</w:t>
      </w:r>
    </w:p>
    <w:p w14:paraId="71AC46BB" w14:textId="61C618AF" w:rsidR="00420EF5" w:rsidRPr="0025222F" w:rsidRDefault="00420EF5" w:rsidP="006E4789">
      <w:pPr>
        <w:pStyle w:val="ListParagraph"/>
        <w:numPr>
          <w:ilvl w:val="0"/>
          <w:numId w:val="10"/>
        </w:numPr>
        <w:ind w:left="270" w:hanging="270"/>
        <w:rPr>
          <w:szCs w:val="20"/>
        </w:rPr>
      </w:pPr>
      <w:r w:rsidRPr="0025222F">
        <w:rPr>
          <w:szCs w:val="20"/>
        </w:rPr>
        <w:t>Illustration is representational</w:t>
      </w:r>
      <w:r w:rsidR="0025222F" w:rsidRPr="0025222F">
        <w:rPr>
          <w:szCs w:val="20"/>
        </w:rPr>
        <w:t>-only</w:t>
      </w:r>
      <w:r w:rsidRPr="0025222F">
        <w:rPr>
          <w:szCs w:val="20"/>
        </w:rPr>
        <w:t>.</w:t>
      </w:r>
    </w:p>
    <w:p w14:paraId="64BCBDAC" w14:textId="311D9512" w:rsidR="00D64CBF" w:rsidRDefault="006E4789" w:rsidP="006E4789">
      <w:pPr>
        <w:pStyle w:val="ListParagraph"/>
        <w:numPr>
          <w:ilvl w:val="0"/>
          <w:numId w:val="10"/>
        </w:numPr>
        <w:ind w:left="270" w:hanging="180"/>
        <w:rPr>
          <w:szCs w:val="20"/>
        </w:rPr>
      </w:pPr>
      <w:r w:rsidRPr="00795A05">
        <w:rPr>
          <w:b/>
          <w:bCs/>
          <w:noProof/>
          <w:szCs w:val="20"/>
        </w:rPr>
        <w:drawing>
          <wp:anchor distT="0" distB="0" distL="114300" distR="114300" simplePos="0" relativeHeight="251658240" behindDoc="1" locked="0" layoutInCell="1" allowOverlap="1" wp14:anchorId="689D6DEE" wp14:editId="3F006FD4">
            <wp:simplePos x="0" y="0"/>
            <wp:positionH relativeFrom="page">
              <wp:align>center</wp:align>
            </wp:positionH>
            <wp:positionV relativeFrom="paragraph">
              <wp:posOffset>511175</wp:posOffset>
            </wp:positionV>
            <wp:extent cx="3841750" cy="2343150"/>
            <wp:effectExtent l="0" t="0" r="6350" b="0"/>
            <wp:wrapTopAndBottom/>
            <wp:docPr id="115987107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987107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1750" cy="2343150"/>
                    </a:xfrm>
                    <a:prstGeom prst="rect">
                      <a:avLst/>
                    </a:prstGeom>
                  </pic:spPr>
                </pic:pic>
              </a:graphicData>
            </a:graphic>
            <wp14:sizeRelH relativeFrom="margin">
              <wp14:pctWidth>0</wp14:pctWidth>
            </wp14:sizeRelH>
            <wp14:sizeRelV relativeFrom="margin">
              <wp14:pctHeight>0</wp14:pctHeight>
            </wp14:sizeRelV>
          </wp:anchor>
        </w:drawing>
      </w:r>
      <w:r w:rsidR="00420EF5" w:rsidRPr="00795A05">
        <w:rPr>
          <w:szCs w:val="20"/>
        </w:rPr>
        <w:t>Segregating Portal access and Chewy TM access allows clear separation of access scopes while maintaining synchronization to single-source data.</w:t>
      </w:r>
    </w:p>
    <w:p w14:paraId="3D8280C6" w14:textId="4AFB0F99" w:rsidR="00D64CBF" w:rsidRDefault="00D64CBF" w:rsidP="00D64CBF">
      <w:pPr>
        <w:pStyle w:val="Heading1"/>
      </w:pPr>
      <w:r w:rsidRPr="00D64CBF">
        <w:lastRenderedPageBreak/>
        <w:t xml:space="preserve">Appendix </w:t>
      </w:r>
      <w:r>
        <w:t>4: Implementation Plan</w:t>
      </w:r>
    </w:p>
    <w:p w14:paraId="24B789B9" w14:textId="21298910" w:rsidR="004E7DFD" w:rsidRDefault="004E7DFD" w:rsidP="0025222F">
      <w:pPr>
        <w:spacing w:line="240" w:lineRule="auto"/>
        <w:rPr>
          <w:szCs w:val="20"/>
        </w:rPr>
      </w:pPr>
      <w:r>
        <w:rPr>
          <w:b/>
          <w:bCs/>
          <w:szCs w:val="20"/>
        </w:rPr>
        <w:br/>
        <w:t xml:space="preserve">Build &amp; </w:t>
      </w:r>
      <w:r w:rsidRPr="004E7DFD">
        <w:rPr>
          <w:b/>
          <w:bCs/>
          <w:szCs w:val="20"/>
        </w:rPr>
        <w:t>Rollout Strategy</w:t>
      </w:r>
      <w:r w:rsidR="00CB70C8">
        <w:rPr>
          <w:b/>
          <w:bCs/>
          <w:szCs w:val="20"/>
        </w:rPr>
        <w:t>:</w:t>
      </w:r>
    </w:p>
    <w:p w14:paraId="62283688" w14:textId="10F1BB9F" w:rsidR="004E7DFD" w:rsidRPr="004E7DFD" w:rsidRDefault="004E7DFD" w:rsidP="0025222F">
      <w:pPr>
        <w:spacing w:after="0" w:line="240" w:lineRule="auto"/>
        <w:rPr>
          <w:szCs w:val="20"/>
        </w:rPr>
      </w:pPr>
      <w:r w:rsidRPr="004E7DFD">
        <w:rPr>
          <w:szCs w:val="20"/>
        </w:rPr>
        <w:t xml:space="preserve">The rollout will follow a </w:t>
      </w:r>
      <w:r w:rsidRPr="004E7DFD">
        <w:rPr>
          <w:b/>
          <w:bCs/>
          <w:szCs w:val="20"/>
        </w:rPr>
        <w:t>phased approach</w:t>
      </w:r>
      <w:r w:rsidRPr="004E7DFD">
        <w:rPr>
          <w:szCs w:val="20"/>
        </w:rPr>
        <w:t xml:space="preserve"> that balances speed with control.</w:t>
      </w:r>
    </w:p>
    <w:p w14:paraId="3BC0E3A9" w14:textId="59C214E3" w:rsidR="004E7DFD" w:rsidRPr="004E7DFD" w:rsidRDefault="004E7DFD" w:rsidP="0025222F">
      <w:pPr>
        <w:numPr>
          <w:ilvl w:val="0"/>
          <w:numId w:val="3"/>
        </w:numPr>
        <w:spacing w:after="0" w:line="240" w:lineRule="auto"/>
        <w:ind w:left="180" w:hanging="180"/>
        <w:rPr>
          <w:szCs w:val="20"/>
        </w:rPr>
      </w:pPr>
      <w:r w:rsidRPr="004E7DFD">
        <w:rPr>
          <w:b/>
          <w:bCs/>
          <w:szCs w:val="20"/>
        </w:rPr>
        <w:t>Phase 1</w:t>
      </w:r>
      <w:r w:rsidRPr="004E7DFD">
        <w:rPr>
          <w:szCs w:val="20"/>
        </w:rPr>
        <w:t xml:space="preserve"> establish</w:t>
      </w:r>
      <w:r>
        <w:rPr>
          <w:szCs w:val="20"/>
        </w:rPr>
        <w:t>es</w:t>
      </w:r>
      <w:r w:rsidRPr="004E7DFD">
        <w:rPr>
          <w:szCs w:val="20"/>
        </w:rPr>
        <w:t xml:space="preserve"> the </w:t>
      </w:r>
      <w:r w:rsidRPr="004E7DFD">
        <w:rPr>
          <w:b/>
          <w:bCs/>
          <w:szCs w:val="20"/>
        </w:rPr>
        <w:t>data platform foundation</w:t>
      </w:r>
      <w:r w:rsidRPr="004E7DFD">
        <w:rPr>
          <w:szCs w:val="20"/>
        </w:rPr>
        <w:t xml:space="preserve"> in Snowflake and </w:t>
      </w:r>
      <w:proofErr w:type="gramStart"/>
      <w:r w:rsidRPr="004E7DFD">
        <w:rPr>
          <w:szCs w:val="20"/>
        </w:rPr>
        <w:t>deliver</w:t>
      </w:r>
      <w:proofErr w:type="gramEnd"/>
      <w:r w:rsidRPr="004E7DFD">
        <w:rPr>
          <w:szCs w:val="20"/>
        </w:rPr>
        <w:t xml:space="preserve"> internal tools for In-Stock and B.I. teams.</w:t>
      </w:r>
    </w:p>
    <w:p w14:paraId="0C028E04" w14:textId="5C3C7E04" w:rsidR="004E7DFD" w:rsidRDefault="004E7DFD" w:rsidP="0025222F">
      <w:pPr>
        <w:numPr>
          <w:ilvl w:val="0"/>
          <w:numId w:val="3"/>
        </w:numPr>
        <w:spacing w:after="0" w:line="240" w:lineRule="auto"/>
        <w:ind w:left="180" w:hanging="180"/>
        <w:rPr>
          <w:szCs w:val="20"/>
        </w:rPr>
      </w:pPr>
      <w:r w:rsidRPr="004E7DFD">
        <w:rPr>
          <w:b/>
          <w:bCs/>
          <w:szCs w:val="20"/>
        </w:rPr>
        <w:t>Phase 2</w:t>
      </w:r>
      <w:r w:rsidRPr="004E7DFD">
        <w:rPr>
          <w:szCs w:val="20"/>
        </w:rPr>
        <w:t xml:space="preserve"> will extend capabilit</w:t>
      </w:r>
      <w:r>
        <w:rPr>
          <w:szCs w:val="20"/>
        </w:rPr>
        <w:t>ies</w:t>
      </w:r>
      <w:r w:rsidRPr="004E7DFD">
        <w:rPr>
          <w:szCs w:val="20"/>
        </w:rPr>
        <w:t xml:space="preserve"> to the </w:t>
      </w:r>
      <w:r w:rsidRPr="004E7DFD">
        <w:rPr>
          <w:b/>
          <w:bCs/>
          <w:szCs w:val="20"/>
        </w:rPr>
        <w:t>CPFR Vendor Portal</w:t>
      </w:r>
      <w:r w:rsidRPr="004E7DFD">
        <w:rPr>
          <w:szCs w:val="20"/>
        </w:rPr>
        <w:t xml:space="preserve"> within Chewy Partner Hub (CPH), enabling secure vendor access and self-service.</w:t>
      </w:r>
    </w:p>
    <w:p w14:paraId="71EAA594" w14:textId="032CCCEE" w:rsidR="004E7DFD" w:rsidRPr="004E7DFD" w:rsidRDefault="004E7DFD" w:rsidP="0025222F">
      <w:pPr>
        <w:spacing w:line="240" w:lineRule="auto"/>
        <w:rPr>
          <w:szCs w:val="20"/>
        </w:rPr>
      </w:pPr>
      <w:r w:rsidRPr="004E7DFD">
        <w:rPr>
          <w:szCs w:val="20"/>
        </w:rPr>
        <w:t xml:space="preserve">While these phases are sequential, </w:t>
      </w:r>
      <w:r>
        <w:rPr>
          <w:szCs w:val="20"/>
        </w:rPr>
        <w:t xml:space="preserve">a degree of </w:t>
      </w:r>
      <w:r w:rsidRPr="004E7DFD">
        <w:rPr>
          <w:szCs w:val="20"/>
        </w:rPr>
        <w:t xml:space="preserve">overlap between late-stage Phase 1 and early-stage Phase 2 is expected and </w:t>
      </w:r>
      <w:r>
        <w:rPr>
          <w:szCs w:val="20"/>
        </w:rPr>
        <w:t>even desirable</w:t>
      </w:r>
      <w:r w:rsidRPr="004E7DFD">
        <w:rPr>
          <w:szCs w:val="20"/>
        </w:rPr>
        <w:t>. This approach minimizes disruption and allows technical, training, and communication activities to proceed in parallel as readiness milestones are met.</w:t>
      </w:r>
    </w:p>
    <w:p w14:paraId="51DF2124" w14:textId="77777777" w:rsidR="004E7DFD" w:rsidRPr="004E7DFD" w:rsidRDefault="004E7DFD" w:rsidP="0025222F">
      <w:pPr>
        <w:spacing w:after="0" w:line="240" w:lineRule="auto"/>
        <w:rPr>
          <w:szCs w:val="20"/>
        </w:rPr>
      </w:pPr>
      <w:r w:rsidRPr="004E7DFD">
        <w:rPr>
          <w:szCs w:val="20"/>
        </w:rPr>
        <w:t>Additional measures to ensure a smooth transition:</w:t>
      </w:r>
    </w:p>
    <w:p w14:paraId="78073E03" w14:textId="77777777" w:rsidR="004E7DFD" w:rsidRPr="0025222F" w:rsidRDefault="004E7DFD" w:rsidP="0025222F">
      <w:pPr>
        <w:numPr>
          <w:ilvl w:val="0"/>
          <w:numId w:val="3"/>
        </w:numPr>
        <w:spacing w:after="0" w:line="240" w:lineRule="auto"/>
        <w:ind w:left="180" w:hanging="180"/>
        <w:rPr>
          <w:szCs w:val="20"/>
        </w:rPr>
      </w:pPr>
      <w:r w:rsidRPr="0025222F">
        <w:rPr>
          <w:szCs w:val="20"/>
        </w:rPr>
        <w:t>In-Stock staff will receive pre-release training and reference documentation prior to portal enablement.</w:t>
      </w:r>
    </w:p>
    <w:p w14:paraId="48E2F46C" w14:textId="76B72156" w:rsidR="004E7DFD" w:rsidRPr="0025222F" w:rsidRDefault="004E7DFD" w:rsidP="0025222F">
      <w:pPr>
        <w:numPr>
          <w:ilvl w:val="0"/>
          <w:numId w:val="3"/>
        </w:numPr>
        <w:spacing w:after="0" w:line="240" w:lineRule="auto"/>
        <w:ind w:left="180" w:hanging="180"/>
        <w:rPr>
          <w:szCs w:val="20"/>
        </w:rPr>
      </w:pPr>
      <w:r w:rsidRPr="0025222F">
        <w:rPr>
          <w:szCs w:val="20"/>
        </w:rPr>
        <w:t>Early rollout will focus on a smaller initial vendor group</w:t>
      </w:r>
      <w:r w:rsidR="00CB70C8" w:rsidRPr="0025222F">
        <w:rPr>
          <w:szCs w:val="20"/>
        </w:rPr>
        <w:t xml:space="preserve"> (e.g. Tier 1 vendors followed by Tier 2, etc.)</w:t>
      </w:r>
      <w:r w:rsidRPr="0025222F">
        <w:rPr>
          <w:szCs w:val="20"/>
        </w:rPr>
        <w:t>, allowing Chewy to validate workflows and resolve any early issues before broad release.</w:t>
      </w:r>
    </w:p>
    <w:p w14:paraId="45C7AC79" w14:textId="77777777" w:rsidR="004E7DFD" w:rsidRPr="0025222F" w:rsidRDefault="004E7DFD" w:rsidP="0025222F">
      <w:pPr>
        <w:numPr>
          <w:ilvl w:val="0"/>
          <w:numId w:val="3"/>
        </w:numPr>
        <w:spacing w:after="0" w:line="240" w:lineRule="auto"/>
        <w:ind w:left="180" w:hanging="180"/>
        <w:rPr>
          <w:szCs w:val="20"/>
        </w:rPr>
      </w:pPr>
      <w:r w:rsidRPr="0025222F">
        <w:rPr>
          <w:szCs w:val="20"/>
        </w:rPr>
        <w:t>Lessons learned from this initial onboarding will inform subsequent vendor activation waves.</w:t>
      </w:r>
    </w:p>
    <w:p w14:paraId="185C28AB" w14:textId="2E1B97B6" w:rsidR="004E7DFD" w:rsidRPr="004E7DFD" w:rsidRDefault="004E7DFD" w:rsidP="0025222F">
      <w:pPr>
        <w:spacing w:line="240" w:lineRule="auto"/>
        <w:rPr>
          <w:b/>
          <w:bCs/>
          <w:szCs w:val="20"/>
        </w:rPr>
      </w:pPr>
      <w:r w:rsidRPr="004E7DFD">
        <w:rPr>
          <w:b/>
          <w:bCs/>
          <w:szCs w:val="20"/>
        </w:rPr>
        <w:t>Communication Strategy</w:t>
      </w:r>
      <w:r w:rsidR="00CB70C8">
        <w:rPr>
          <w:b/>
          <w:bCs/>
          <w:szCs w:val="20"/>
        </w:rPr>
        <w:t>:</w:t>
      </w:r>
    </w:p>
    <w:p w14:paraId="2290F35A" w14:textId="77777777" w:rsidR="004E7DFD" w:rsidRPr="004E7DFD" w:rsidRDefault="004E7DFD" w:rsidP="0025222F">
      <w:pPr>
        <w:spacing w:after="0" w:line="240" w:lineRule="auto"/>
        <w:rPr>
          <w:szCs w:val="20"/>
        </w:rPr>
      </w:pPr>
      <w:r w:rsidRPr="004E7DFD">
        <w:rPr>
          <w:szCs w:val="20"/>
        </w:rPr>
        <w:t xml:space="preserve">Throughout build and rollout, progress and reference materials will be tracked in a shared collaboration space (e.g., Confluence). Communication </w:t>
      </w:r>
      <w:proofErr w:type="gramStart"/>
      <w:r w:rsidRPr="004E7DFD">
        <w:rPr>
          <w:szCs w:val="20"/>
        </w:rPr>
        <w:t>to</w:t>
      </w:r>
      <w:proofErr w:type="gramEnd"/>
      <w:r w:rsidRPr="004E7DFD">
        <w:rPr>
          <w:szCs w:val="20"/>
        </w:rPr>
        <w:t xml:space="preserve"> internal and external users will be staged to align with the two primary phases:</w:t>
      </w:r>
    </w:p>
    <w:p w14:paraId="2DD48542" w14:textId="7D47AA16" w:rsidR="004E7DFD" w:rsidRPr="004E7DFD" w:rsidRDefault="004E7DFD" w:rsidP="0025222F">
      <w:pPr>
        <w:numPr>
          <w:ilvl w:val="0"/>
          <w:numId w:val="3"/>
        </w:numPr>
        <w:spacing w:after="0" w:line="240" w:lineRule="auto"/>
        <w:ind w:left="180" w:hanging="180"/>
        <w:rPr>
          <w:szCs w:val="20"/>
        </w:rPr>
      </w:pPr>
      <w:r w:rsidRPr="0025222F">
        <w:rPr>
          <w:szCs w:val="20"/>
        </w:rPr>
        <w:t xml:space="preserve">Pre-launch </w:t>
      </w:r>
      <w:proofErr w:type="gramStart"/>
      <w:r w:rsidRPr="0025222F">
        <w:rPr>
          <w:szCs w:val="20"/>
        </w:rPr>
        <w:t>notifications:</w:t>
      </w:r>
      <w:proofErr w:type="gramEnd"/>
      <w:r w:rsidRPr="004E7DFD">
        <w:rPr>
          <w:szCs w:val="20"/>
        </w:rPr>
        <w:t xml:space="preserve"> sent 30 days prior to each rollout milestone, specifying go-live timing and hypercare period.</w:t>
      </w:r>
    </w:p>
    <w:p w14:paraId="4D090C58" w14:textId="77777777" w:rsidR="004E7DFD" w:rsidRPr="004E7DFD" w:rsidRDefault="004E7DFD" w:rsidP="0025222F">
      <w:pPr>
        <w:numPr>
          <w:ilvl w:val="0"/>
          <w:numId w:val="3"/>
        </w:numPr>
        <w:spacing w:after="0" w:line="240" w:lineRule="auto"/>
        <w:ind w:left="180" w:hanging="180"/>
        <w:rPr>
          <w:szCs w:val="20"/>
        </w:rPr>
      </w:pPr>
      <w:r w:rsidRPr="0025222F">
        <w:rPr>
          <w:szCs w:val="20"/>
        </w:rPr>
        <w:t>Orientation sessions:</w:t>
      </w:r>
      <w:r w:rsidRPr="004E7DFD">
        <w:rPr>
          <w:szCs w:val="20"/>
        </w:rPr>
        <w:t xml:space="preserve"> offered for internal users and early vendor adopters during the hypercare window (≈ 30 days post-launch). Additional sessions may be added based on adoption needs.</w:t>
      </w:r>
    </w:p>
    <w:p w14:paraId="6F2B5DDD" w14:textId="01325F6C" w:rsidR="004E7DFD" w:rsidRPr="004E7DFD" w:rsidRDefault="004E7DFD" w:rsidP="0025222F">
      <w:pPr>
        <w:numPr>
          <w:ilvl w:val="0"/>
          <w:numId w:val="3"/>
        </w:numPr>
        <w:spacing w:after="0" w:line="240" w:lineRule="auto"/>
        <w:ind w:left="180" w:hanging="180"/>
        <w:rPr>
          <w:szCs w:val="20"/>
        </w:rPr>
      </w:pPr>
      <w:r w:rsidRPr="0025222F">
        <w:rPr>
          <w:szCs w:val="20"/>
        </w:rPr>
        <w:t>Awareness updates:</w:t>
      </w:r>
      <w:r w:rsidRPr="004E7DFD">
        <w:rPr>
          <w:szCs w:val="20"/>
        </w:rPr>
        <w:t xml:space="preserve"> periodic “coming soon” highlights during development to prepare teams for upcoming functionality.</w:t>
      </w:r>
    </w:p>
    <w:p w14:paraId="005A76FF" w14:textId="036CD8A8" w:rsidR="004E7DFD" w:rsidRPr="004E7DFD" w:rsidRDefault="004E7DFD" w:rsidP="0025222F">
      <w:pPr>
        <w:spacing w:line="240" w:lineRule="auto"/>
        <w:rPr>
          <w:b/>
          <w:bCs/>
          <w:szCs w:val="20"/>
        </w:rPr>
      </w:pPr>
      <w:r w:rsidRPr="004E7DFD">
        <w:rPr>
          <w:b/>
          <w:bCs/>
          <w:szCs w:val="20"/>
        </w:rPr>
        <w:t>Hypercare</w:t>
      </w:r>
      <w:r w:rsidR="00CB70C8">
        <w:rPr>
          <w:b/>
          <w:bCs/>
          <w:szCs w:val="20"/>
        </w:rPr>
        <w:t>:</w:t>
      </w:r>
    </w:p>
    <w:p w14:paraId="2993BB3A" w14:textId="2D438402" w:rsidR="004E7DFD" w:rsidRPr="004E7DFD" w:rsidRDefault="004E7DFD" w:rsidP="0025222F">
      <w:pPr>
        <w:spacing w:after="0" w:line="240" w:lineRule="auto"/>
        <w:rPr>
          <w:szCs w:val="20"/>
        </w:rPr>
      </w:pPr>
      <w:r w:rsidRPr="004E7DFD">
        <w:rPr>
          <w:szCs w:val="20"/>
        </w:rPr>
        <w:t>A defined period of elevated service attention will follow each rollout milestone to ensure stable adoption</w:t>
      </w:r>
      <w:r w:rsidR="0025222F">
        <w:rPr>
          <w:szCs w:val="20"/>
        </w:rPr>
        <w:t>:</w:t>
      </w:r>
    </w:p>
    <w:p w14:paraId="23826874" w14:textId="77777777" w:rsidR="004E7DFD" w:rsidRPr="004E7DFD" w:rsidRDefault="004E7DFD" w:rsidP="0025222F">
      <w:pPr>
        <w:numPr>
          <w:ilvl w:val="0"/>
          <w:numId w:val="3"/>
        </w:numPr>
        <w:spacing w:after="0" w:line="240" w:lineRule="auto"/>
        <w:ind w:left="180" w:hanging="180"/>
        <w:rPr>
          <w:szCs w:val="20"/>
        </w:rPr>
      </w:pPr>
      <w:r w:rsidRPr="004E7DFD">
        <w:rPr>
          <w:szCs w:val="20"/>
        </w:rPr>
        <w:t>Externally, hypercare maintains Chewy’s commitment to partnership by providing responsive support and encouraging early adoption success.</w:t>
      </w:r>
    </w:p>
    <w:p w14:paraId="5CEDFDD6" w14:textId="6CC91881" w:rsidR="004E7DFD" w:rsidRPr="004E7DFD" w:rsidRDefault="004E7DFD" w:rsidP="0025222F">
      <w:pPr>
        <w:numPr>
          <w:ilvl w:val="0"/>
          <w:numId w:val="3"/>
        </w:numPr>
        <w:spacing w:after="0" w:line="240" w:lineRule="auto"/>
        <w:ind w:left="180" w:hanging="180"/>
        <w:rPr>
          <w:szCs w:val="20"/>
        </w:rPr>
      </w:pPr>
      <w:r w:rsidRPr="004E7DFD">
        <w:rPr>
          <w:szCs w:val="20"/>
        </w:rPr>
        <w:t xml:space="preserve">Internally, it delivers fast feedback loops </w:t>
      </w:r>
      <w:r w:rsidR="0025222F">
        <w:rPr>
          <w:szCs w:val="20"/>
        </w:rPr>
        <w:t>for</w:t>
      </w:r>
      <w:r w:rsidRPr="004E7DFD">
        <w:rPr>
          <w:szCs w:val="20"/>
        </w:rPr>
        <w:t xml:space="preserve"> support and engineering teams to implement quick fixes and optimizations.</w:t>
      </w:r>
    </w:p>
    <w:p w14:paraId="125D10EB" w14:textId="79352A14" w:rsidR="004E7DFD" w:rsidRPr="004E7DFD" w:rsidRDefault="004E7DFD" w:rsidP="0025222F">
      <w:pPr>
        <w:spacing w:line="240" w:lineRule="auto"/>
        <w:rPr>
          <w:b/>
          <w:bCs/>
          <w:szCs w:val="20"/>
        </w:rPr>
      </w:pPr>
      <w:r w:rsidRPr="004E7DFD">
        <w:rPr>
          <w:b/>
          <w:bCs/>
          <w:szCs w:val="20"/>
        </w:rPr>
        <w:t>Email Backup</w:t>
      </w:r>
      <w:r w:rsidR="00CB70C8">
        <w:rPr>
          <w:b/>
          <w:bCs/>
          <w:szCs w:val="20"/>
        </w:rPr>
        <w:t>:</w:t>
      </w:r>
    </w:p>
    <w:p w14:paraId="0C5FE981" w14:textId="7A150A78" w:rsidR="00D64CBF" w:rsidRPr="004E7DFD" w:rsidRDefault="004E7DFD" w:rsidP="0025222F">
      <w:pPr>
        <w:spacing w:after="0" w:line="240" w:lineRule="auto"/>
        <w:rPr>
          <w:szCs w:val="20"/>
        </w:rPr>
      </w:pPr>
      <w:r w:rsidRPr="004E7DFD">
        <w:rPr>
          <w:szCs w:val="20"/>
        </w:rPr>
        <w:t>A</w:t>
      </w:r>
      <w:r w:rsidR="00CB70C8">
        <w:rPr>
          <w:szCs w:val="20"/>
        </w:rPr>
        <w:t>n</w:t>
      </w:r>
      <w:r w:rsidRPr="004E7DFD">
        <w:rPr>
          <w:szCs w:val="20"/>
        </w:rPr>
        <w:t xml:space="preserve"> email feed</w:t>
      </w:r>
      <w:r>
        <w:rPr>
          <w:szCs w:val="20"/>
        </w:rPr>
        <w:t xml:space="preserve"> capability </w:t>
      </w:r>
      <w:r w:rsidRPr="004E7DFD">
        <w:rPr>
          <w:szCs w:val="20"/>
        </w:rPr>
        <w:t xml:space="preserve">will </w:t>
      </w:r>
      <w:r w:rsidR="00E83F50">
        <w:rPr>
          <w:szCs w:val="20"/>
        </w:rPr>
        <w:t>be</w:t>
      </w:r>
      <w:r w:rsidRPr="004E7DFD">
        <w:rPr>
          <w:szCs w:val="20"/>
        </w:rPr>
        <w:t xml:space="preserve"> available for vendors unable</w:t>
      </w:r>
      <w:r w:rsidR="00CB70C8">
        <w:rPr>
          <w:szCs w:val="20"/>
        </w:rPr>
        <w:t xml:space="preserve"> or with inopportune access</w:t>
      </w:r>
      <w:r w:rsidRPr="004E7DFD">
        <w:rPr>
          <w:szCs w:val="20"/>
        </w:rPr>
        <w:t xml:space="preserve"> to the portal</w:t>
      </w:r>
      <w:r>
        <w:rPr>
          <w:szCs w:val="20"/>
        </w:rPr>
        <w:t>.</w:t>
      </w:r>
      <w:r w:rsidR="00CB70C8">
        <w:rPr>
          <w:szCs w:val="20"/>
        </w:rPr>
        <w:t xml:space="preserve"> This will be activated at portal rollout to send the same data-view shown to the vendor in the portal based on the metric configuration chosen by the vendor’s ISM and selections the vendor makes in the portal for their recipients. Legacy email automation will be available as a back-up facility for CPFR reporting during </w:t>
      </w:r>
      <w:proofErr w:type="gramStart"/>
      <w:r w:rsidR="00CB70C8">
        <w:rPr>
          <w:szCs w:val="20"/>
        </w:rPr>
        <w:t>rollout, but</w:t>
      </w:r>
      <w:proofErr w:type="gramEnd"/>
      <w:r w:rsidR="00CB70C8">
        <w:rPr>
          <w:szCs w:val="20"/>
        </w:rPr>
        <w:t xml:space="preserve"> will be gradually deactivated in favor of portal-based systems. </w:t>
      </w:r>
    </w:p>
    <w:sectPr w:rsidR="00D64CBF" w:rsidRPr="004E7DFD" w:rsidSect="003C6BE6">
      <w:headerReference w:type="default" r:id="rId9"/>
      <w:footerReference w:type="default" r:id="rId10"/>
      <w:headerReference w:type="first" r:id="rId11"/>
      <w:footerReference w:type="first" r:id="rId12"/>
      <w:pgSz w:w="12240" w:h="15840"/>
      <w:pgMar w:top="576" w:right="576" w:bottom="288" w:left="576" w:header="432" w:footer="432" w:gutter="288"/>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BE11A" w14:textId="77777777" w:rsidR="002B7E2F" w:rsidRDefault="002B7E2F" w:rsidP="00AC1730">
      <w:pPr>
        <w:spacing w:after="0" w:line="240" w:lineRule="auto"/>
      </w:pPr>
      <w:r>
        <w:separator/>
      </w:r>
    </w:p>
  </w:endnote>
  <w:endnote w:type="continuationSeparator" w:id="0">
    <w:p w14:paraId="08813B21" w14:textId="77777777" w:rsidR="002B7E2F" w:rsidRDefault="002B7E2F" w:rsidP="00AC1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E9EDCDB9-BDA3-4FFF-A3BC-50B586145F84}"/>
    <w:embedBold r:id="rId2" w:fontKey="{B6483371-D033-4880-BFFB-CDB2FCC257F3}"/>
    <w:embedItalic r:id="rId3" w:fontKey="{175D4145-CAB6-4D44-B896-373263AF21B2}"/>
    <w:embedBoldItalic r:id="rId4" w:fontKey="{AEED9C72-0344-43B7-A3D7-C93A676CA1E2}"/>
  </w:font>
  <w:font w:name="Aptos Display">
    <w:charset w:val="00"/>
    <w:family w:val="swiss"/>
    <w:pitch w:val="variable"/>
    <w:sig w:usb0="20000287" w:usb1="00000003" w:usb2="00000000" w:usb3="00000000" w:csb0="0000019F" w:csb1="00000000"/>
    <w:embedRegular r:id="rId5" w:fontKey="{4C549F67-BA6F-4FA0-9FF9-AD6718F23CD4}"/>
    <w:embedBold r:id="rId6" w:fontKey="{1A822251-1CD6-4E5D-ACD3-FCAE65B8DC40}"/>
  </w:font>
  <w:font w:name="Aptos Narrow">
    <w:charset w:val="00"/>
    <w:family w:val="swiss"/>
    <w:pitch w:val="variable"/>
    <w:sig w:usb0="20000287" w:usb1="00000003" w:usb2="00000000" w:usb3="00000000" w:csb0="0000019F" w:csb1="00000000"/>
    <w:embedRegular r:id="rId7" w:fontKey="{F057BD0E-F567-4785-9FB1-46281B51A3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67BF4" w14:textId="40C5694D" w:rsidR="00AC1730" w:rsidRPr="00D46C6F" w:rsidRDefault="00D46C6F" w:rsidP="00AC1730">
    <w:pPr>
      <w:pStyle w:val="Footer"/>
      <w:tabs>
        <w:tab w:val="clear" w:pos="4680"/>
        <w:tab w:val="clear" w:pos="9360"/>
        <w:tab w:val="center" w:pos="5400"/>
        <w:tab w:val="right" w:pos="10800"/>
      </w:tabs>
      <w:rPr>
        <w:sz w:val="18"/>
        <w:szCs w:val="18"/>
      </w:rPr>
    </w:pPr>
    <w:r w:rsidRPr="00D46C6F">
      <w:rPr>
        <w:sz w:val="18"/>
        <w:szCs w:val="18"/>
      </w:rPr>
      <w:t>CPFR Platform &amp; Portal</w:t>
    </w:r>
    <w:r w:rsidRPr="00D46C6F">
      <w:rPr>
        <w:sz w:val="18"/>
        <w:szCs w:val="18"/>
      </w:rPr>
      <w:tab/>
    </w:r>
    <w:r w:rsidRPr="00D46C6F">
      <w:rPr>
        <w:noProof/>
        <w:sz w:val="18"/>
        <w:szCs w:val="18"/>
      </w:rPr>
      <w:drawing>
        <wp:inline distT="0" distB="0" distL="0" distR="0" wp14:anchorId="4DF2C5C1" wp14:editId="759960C4">
          <wp:extent cx="873905" cy="274320"/>
          <wp:effectExtent l="0" t="0" r="2540" b="0"/>
          <wp:docPr id="936043144"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9110" name="Picture 1"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3905" cy="274320"/>
                  </a:xfrm>
                  <a:prstGeom prst="rect">
                    <a:avLst/>
                  </a:prstGeom>
                </pic:spPr>
              </pic:pic>
            </a:graphicData>
          </a:graphic>
        </wp:inline>
      </w:drawing>
    </w:r>
    <w:r w:rsidRPr="00D46C6F">
      <w:rPr>
        <w:sz w:val="18"/>
        <w:szCs w:val="18"/>
      </w:rPr>
      <w:tab/>
      <w:t>nmiles1, 2025-10-30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FAB7" w14:textId="283D7E53" w:rsidR="00D0092F" w:rsidRPr="00D46C6F" w:rsidRDefault="00D46C6F" w:rsidP="00D46C6F">
    <w:pPr>
      <w:pStyle w:val="Footer"/>
      <w:tabs>
        <w:tab w:val="clear" w:pos="4680"/>
        <w:tab w:val="clear" w:pos="9360"/>
        <w:tab w:val="center" w:pos="5400"/>
        <w:tab w:val="right" w:pos="10800"/>
      </w:tabs>
      <w:rPr>
        <w:sz w:val="18"/>
        <w:szCs w:val="18"/>
      </w:rPr>
    </w:pPr>
    <w:r w:rsidRPr="00D46C6F">
      <w:rPr>
        <w:sz w:val="18"/>
        <w:szCs w:val="18"/>
      </w:rPr>
      <w:t>CPFR Platform &amp; Portal</w:t>
    </w:r>
    <w:r w:rsidRPr="00D46C6F">
      <w:rPr>
        <w:sz w:val="18"/>
        <w:szCs w:val="18"/>
      </w:rPr>
      <w:tab/>
    </w:r>
    <w:r w:rsidRPr="00D46C6F">
      <w:rPr>
        <w:noProof/>
        <w:sz w:val="18"/>
        <w:szCs w:val="18"/>
      </w:rPr>
      <w:drawing>
        <wp:inline distT="0" distB="0" distL="0" distR="0" wp14:anchorId="150D549F" wp14:editId="3B74192D">
          <wp:extent cx="873905" cy="274320"/>
          <wp:effectExtent l="0" t="0" r="2540" b="0"/>
          <wp:docPr id="916745010"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9110" name="Picture 1"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3905" cy="274320"/>
                  </a:xfrm>
                  <a:prstGeom prst="rect">
                    <a:avLst/>
                  </a:prstGeom>
                </pic:spPr>
              </pic:pic>
            </a:graphicData>
          </a:graphic>
        </wp:inline>
      </w:drawing>
    </w:r>
    <w:r w:rsidRPr="00D46C6F">
      <w:rPr>
        <w:sz w:val="18"/>
        <w:szCs w:val="18"/>
      </w:rPr>
      <w:tab/>
      <w:t>nmiles1, 2025-10-30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34506" w14:textId="77777777" w:rsidR="002B7E2F" w:rsidRDefault="002B7E2F" w:rsidP="00AC1730">
      <w:pPr>
        <w:spacing w:after="0" w:line="240" w:lineRule="auto"/>
      </w:pPr>
      <w:r>
        <w:separator/>
      </w:r>
    </w:p>
  </w:footnote>
  <w:footnote w:type="continuationSeparator" w:id="0">
    <w:p w14:paraId="2E64B65C" w14:textId="77777777" w:rsidR="002B7E2F" w:rsidRDefault="002B7E2F" w:rsidP="00AC1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782320"/>
      <w:docPartObj>
        <w:docPartGallery w:val="Watermarks"/>
        <w:docPartUnique/>
      </w:docPartObj>
    </w:sdtPr>
    <w:sdtContent>
      <w:p w14:paraId="30908B57" w14:textId="411467A2" w:rsidR="00D46C6F" w:rsidRDefault="00000000" w:rsidP="00AC1730">
        <w:pPr>
          <w:pStyle w:val="Header"/>
          <w:tabs>
            <w:tab w:val="clear" w:pos="4680"/>
            <w:tab w:val="clear" w:pos="9360"/>
            <w:tab w:val="center" w:pos="5400"/>
            <w:tab w:val="right" w:pos="10800"/>
          </w:tabs>
        </w:pPr>
        <w:r>
          <w:rPr>
            <w:noProof/>
          </w:rPr>
          <w:pict w14:anchorId="623A96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441D" w14:textId="1095D571" w:rsidR="00D0092F" w:rsidRDefault="00D0092F" w:rsidP="00D46C6F">
    <w:pPr>
      <w:pStyle w:val="Header"/>
      <w:tabs>
        <w:tab w:val="clear" w:pos="4680"/>
        <w:tab w:val="clear" w:pos="9360"/>
        <w:tab w:val="center" w:pos="5400"/>
        <w:tab w:val="right" w:pos="10800"/>
      </w:tabs>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7AA"/>
    <w:multiLevelType w:val="hybridMultilevel"/>
    <w:tmpl w:val="747C4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F64E3"/>
    <w:multiLevelType w:val="hybridMultilevel"/>
    <w:tmpl w:val="605E6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F6D3E"/>
    <w:multiLevelType w:val="hybridMultilevel"/>
    <w:tmpl w:val="872E65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CD7077"/>
    <w:multiLevelType w:val="hybridMultilevel"/>
    <w:tmpl w:val="BA943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80335"/>
    <w:multiLevelType w:val="hybridMultilevel"/>
    <w:tmpl w:val="81E47C60"/>
    <w:lvl w:ilvl="0" w:tplc="E9CE0F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C54D45"/>
    <w:multiLevelType w:val="hybridMultilevel"/>
    <w:tmpl w:val="1720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7A69AB"/>
    <w:multiLevelType w:val="hybridMultilevel"/>
    <w:tmpl w:val="DBE2FEB0"/>
    <w:lvl w:ilvl="0" w:tplc="EEF4C206">
      <w:numFmt w:val="bullet"/>
      <w:lvlText w:val=""/>
      <w:lvlJc w:val="left"/>
      <w:pPr>
        <w:ind w:left="806" w:hanging="360"/>
      </w:pPr>
      <w:rPr>
        <w:rFonts w:ascii="Symbol" w:eastAsiaTheme="minorHAnsi" w:hAnsi="Symbol" w:cstheme="minorBidi" w:hint="default"/>
        <w:i/>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7" w15:restartNumberingAfterBreak="0">
    <w:nsid w:val="304752C9"/>
    <w:multiLevelType w:val="hybridMultilevel"/>
    <w:tmpl w:val="50821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4D75E87"/>
    <w:multiLevelType w:val="hybridMultilevel"/>
    <w:tmpl w:val="5E72AB7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449725DC"/>
    <w:multiLevelType w:val="hybridMultilevel"/>
    <w:tmpl w:val="F8069570"/>
    <w:lvl w:ilvl="0" w:tplc="4B64CEA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D18688E"/>
    <w:multiLevelType w:val="hybridMultilevel"/>
    <w:tmpl w:val="BC4E8D7A"/>
    <w:lvl w:ilvl="0" w:tplc="E9CE0F20">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FE12E5C"/>
    <w:multiLevelType w:val="multilevel"/>
    <w:tmpl w:val="8A2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95660"/>
    <w:multiLevelType w:val="hybridMultilevel"/>
    <w:tmpl w:val="83223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52714E"/>
    <w:multiLevelType w:val="multilevel"/>
    <w:tmpl w:val="063E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0B2D17"/>
    <w:multiLevelType w:val="hybridMultilevel"/>
    <w:tmpl w:val="FD82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7E67C1"/>
    <w:multiLevelType w:val="multilevel"/>
    <w:tmpl w:val="606C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43B0B"/>
    <w:multiLevelType w:val="multilevel"/>
    <w:tmpl w:val="A33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90C61"/>
    <w:multiLevelType w:val="hybridMultilevel"/>
    <w:tmpl w:val="F14803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C333EF9"/>
    <w:multiLevelType w:val="multilevel"/>
    <w:tmpl w:val="2392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CA7C6A"/>
    <w:multiLevelType w:val="hybridMultilevel"/>
    <w:tmpl w:val="5F34A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9221213">
    <w:abstractNumId w:val="15"/>
  </w:num>
  <w:num w:numId="2" w16cid:durableId="918516870">
    <w:abstractNumId w:val="3"/>
  </w:num>
  <w:num w:numId="3" w16cid:durableId="1003901872">
    <w:abstractNumId w:val="18"/>
  </w:num>
  <w:num w:numId="4" w16cid:durableId="512036269">
    <w:abstractNumId w:val="13"/>
  </w:num>
  <w:num w:numId="5" w16cid:durableId="1038504400">
    <w:abstractNumId w:val="16"/>
  </w:num>
  <w:num w:numId="6" w16cid:durableId="297035316">
    <w:abstractNumId w:val="11"/>
  </w:num>
  <w:num w:numId="7" w16cid:durableId="1813789856">
    <w:abstractNumId w:val="6"/>
  </w:num>
  <w:num w:numId="8" w16cid:durableId="732124443">
    <w:abstractNumId w:val="9"/>
  </w:num>
  <w:num w:numId="9" w16cid:durableId="1373843556">
    <w:abstractNumId w:val="8"/>
  </w:num>
  <w:num w:numId="10" w16cid:durableId="1588921592">
    <w:abstractNumId w:val="12"/>
  </w:num>
  <w:num w:numId="11" w16cid:durableId="559708611">
    <w:abstractNumId w:val="2"/>
  </w:num>
  <w:num w:numId="12" w16cid:durableId="260071146">
    <w:abstractNumId w:val="0"/>
  </w:num>
  <w:num w:numId="13" w16cid:durableId="1980305264">
    <w:abstractNumId w:val="19"/>
  </w:num>
  <w:num w:numId="14" w16cid:durableId="802962908">
    <w:abstractNumId w:val="14"/>
  </w:num>
  <w:num w:numId="15" w16cid:durableId="1505588385">
    <w:abstractNumId w:val="5"/>
  </w:num>
  <w:num w:numId="16" w16cid:durableId="424108705">
    <w:abstractNumId w:val="1"/>
  </w:num>
  <w:num w:numId="17" w16cid:durableId="1362903020">
    <w:abstractNumId w:val="4"/>
  </w:num>
  <w:num w:numId="18" w16cid:durableId="162286985">
    <w:abstractNumId w:val="10"/>
  </w:num>
  <w:num w:numId="19" w16cid:durableId="351885017">
    <w:abstractNumId w:val="17"/>
  </w:num>
  <w:num w:numId="20" w16cid:durableId="16754558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9A"/>
    <w:rsid w:val="000D00FC"/>
    <w:rsid w:val="0017095A"/>
    <w:rsid w:val="001B19E3"/>
    <w:rsid w:val="001D50D0"/>
    <w:rsid w:val="001F6A50"/>
    <w:rsid w:val="00224B12"/>
    <w:rsid w:val="0025222F"/>
    <w:rsid w:val="002565C9"/>
    <w:rsid w:val="002B7E2F"/>
    <w:rsid w:val="00356C52"/>
    <w:rsid w:val="00390734"/>
    <w:rsid w:val="003C2571"/>
    <w:rsid w:val="003C2D00"/>
    <w:rsid w:val="003C2F5B"/>
    <w:rsid w:val="003C3269"/>
    <w:rsid w:val="003C6BE6"/>
    <w:rsid w:val="003E656D"/>
    <w:rsid w:val="004120ED"/>
    <w:rsid w:val="00413C4B"/>
    <w:rsid w:val="00420EF5"/>
    <w:rsid w:val="004933F5"/>
    <w:rsid w:val="004E258E"/>
    <w:rsid w:val="004E7DFD"/>
    <w:rsid w:val="005372A4"/>
    <w:rsid w:val="00542130"/>
    <w:rsid w:val="005733A5"/>
    <w:rsid w:val="00582A8E"/>
    <w:rsid w:val="00647AB9"/>
    <w:rsid w:val="006C78CF"/>
    <w:rsid w:val="006E4789"/>
    <w:rsid w:val="006F56AC"/>
    <w:rsid w:val="00726A58"/>
    <w:rsid w:val="00774A6A"/>
    <w:rsid w:val="0078319C"/>
    <w:rsid w:val="00795A05"/>
    <w:rsid w:val="008208A0"/>
    <w:rsid w:val="008416BE"/>
    <w:rsid w:val="0088231D"/>
    <w:rsid w:val="00907986"/>
    <w:rsid w:val="009206BA"/>
    <w:rsid w:val="009C24E5"/>
    <w:rsid w:val="00AC1403"/>
    <w:rsid w:val="00AC1730"/>
    <w:rsid w:val="00B110D7"/>
    <w:rsid w:val="00B4621D"/>
    <w:rsid w:val="00B951AE"/>
    <w:rsid w:val="00C373ED"/>
    <w:rsid w:val="00C94DBE"/>
    <w:rsid w:val="00CB70C8"/>
    <w:rsid w:val="00CC27F2"/>
    <w:rsid w:val="00D0092F"/>
    <w:rsid w:val="00D27282"/>
    <w:rsid w:val="00D46C6F"/>
    <w:rsid w:val="00D64CBF"/>
    <w:rsid w:val="00DD2D04"/>
    <w:rsid w:val="00E06490"/>
    <w:rsid w:val="00E2756F"/>
    <w:rsid w:val="00E64448"/>
    <w:rsid w:val="00E83F50"/>
    <w:rsid w:val="00EB609A"/>
    <w:rsid w:val="00F21C82"/>
    <w:rsid w:val="00F3243C"/>
    <w:rsid w:val="00F42790"/>
    <w:rsid w:val="00F456A9"/>
    <w:rsid w:val="00F6788A"/>
    <w:rsid w:val="00F755E2"/>
    <w:rsid w:val="00FB2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21AB5"/>
  <w15:chartTrackingRefBased/>
  <w15:docId w15:val="{72AE96E1-076A-4739-849A-CB997029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789"/>
    <w:pPr>
      <w:spacing w:before="120" w:after="120" w:line="264" w:lineRule="auto"/>
    </w:pPr>
    <w:rPr>
      <w:sz w:val="20"/>
    </w:rPr>
  </w:style>
  <w:style w:type="paragraph" w:styleId="Heading1">
    <w:name w:val="heading 1"/>
    <w:basedOn w:val="Normal"/>
    <w:next w:val="Normal"/>
    <w:link w:val="Heading1Char"/>
    <w:uiPriority w:val="9"/>
    <w:qFormat/>
    <w:rsid w:val="00C373ED"/>
    <w:pPr>
      <w:keepNext/>
      <w:keepLines/>
      <w:pBdr>
        <w:top w:val="single" w:sz="12" w:space="1" w:color="auto"/>
      </w:pBdr>
      <w:spacing w:before="360" w:after="240"/>
      <w:outlineLvl w:val="0"/>
    </w:pPr>
    <w:rPr>
      <w:rFonts w:asciiTheme="majorHAnsi" w:eastAsiaTheme="majorEastAsia" w:hAnsiTheme="majorHAnsi" w:cstheme="majorBidi"/>
      <w:b/>
      <w:sz w:val="22"/>
      <w:szCs w:val="40"/>
    </w:rPr>
  </w:style>
  <w:style w:type="paragraph" w:styleId="Heading2">
    <w:name w:val="heading 2"/>
    <w:basedOn w:val="Normal"/>
    <w:next w:val="Normal"/>
    <w:link w:val="Heading2Char"/>
    <w:uiPriority w:val="9"/>
    <w:unhideWhenUsed/>
    <w:qFormat/>
    <w:rsid w:val="00C373ED"/>
    <w:pPr>
      <w:keepNext/>
      <w:keepLines/>
      <w:spacing w:before="240" w:after="160"/>
      <w:outlineLvl w:val="1"/>
    </w:pPr>
    <w:rPr>
      <w:rFonts w:asciiTheme="majorHAnsi" w:eastAsiaTheme="majorEastAsia" w:hAnsiTheme="majorHAnsi" w:cstheme="majorBidi"/>
      <w:b/>
      <w:sz w:val="22"/>
      <w:szCs w:val="32"/>
    </w:rPr>
  </w:style>
  <w:style w:type="paragraph" w:styleId="Heading3">
    <w:name w:val="heading 3"/>
    <w:basedOn w:val="Normal"/>
    <w:next w:val="Normal"/>
    <w:link w:val="Heading3Char"/>
    <w:uiPriority w:val="9"/>
    <w:unhideWhenUsed/>
    <w:qFormat/>
    <w:rsid w:val="00C373ED"/>
    <w:pPr>
      <w:keepNext/>
      <w:keepLines/>
      <w:tabs>
        <w:tab w:val="left" w:pos="360"/>
      </w:tabs>
      <w:spacing w:before="160" w:after="160"/>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C373ED"/>
    <w:pPr>
      <w:keepNext/>
      <w:keepLines/>
      <w:spacing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AC1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3ED"/>
    <w:rPr>
      <w:rFonts w:asciiTheme="majorHAnsi" w:eastAsiaTheme="majorEastAsia" w:hAnsiTheme="majorHAnsi" w:cstheme="majorBidi"/>
      <w:b/>
      <w:sz w:val="22"/>
      <w:szCs w:val="40"/>
    </w:rPr>
  </w:style>
  <w:style w:type="character" w:customStyle="1" w:styleId="Heading2Char">
    <w:name w:val="Heading 2 Char"/>
    <w:basedOn w:val="DefaultParagraphFont"/>
    <w:link w:val="Heading2"/>
    <w:uiPriority w:val="9"/>
    <w:rsid w:val="00C373ED"/>
    <w:rPr>
      <w:rFonts w:asciiTheme="majorHAnsi" w:eastAsiaTheme="majorEastAsia" w:hAnsiTheme="majorHAnsi" w:cstheme="majorBidi"/>
      <w:b/>
      <w:sz w:val="22"/>
      <w:szCs w:val="32"/>
    </w:rPr>
  </w:style>
  <w:style w:type="character" w:customStyle="1" w:styleId="Heading3Char">
    <w:name w:val="Heading 3 Char"/>
    <w:basedOn w:val="DefaultParagraphFont"/>
    <w:link w:val="Heading3"/>
    <w:uiPriority w:val="9"/>
    <w:rsid w:val="00C373ED"/>
    <w:rPr>
      <w:rFonts w:eastAsiaTheme="majorEastAsia" w:cstheme="majorBidi"/>
      <w:i/>
      <w:sz w:val="20"/>
      <w:szCs w:val="28"/>
    </w:rPr>
  </w:style>
  <w:style w:type="character" w:customStyle="1" w:styleId="Heading4Char">
    <w:name w:val="Heading 4 Char"/>
    <w:basedOn w:val="DefaultParagraphFont"/>
    <w:link w:val="Heading4"/>
    <w:uiPriority w:val="9"/>
    <w:rsid w:val="00C373ED"/>
    <w:rPr>
      <w:rFonts w:eastAsiaTheme="majorEastAsia" w:cstheme="majorBidi"/>
      <w:b/>
      <w:iCs/>
      <w:sz w:val="20"/>
    </w:rPr>
  </w:style>
  <w:style w:type="character" w:customStyle="1" w:styleId="Heading5Char">
    <w:name w:val="Heading 5 Char"/>
    <w:basedOn w:val="DefaultParagraphFont"/>
    <w:link w:val="Heading5"/>
    <w:uiPriority w:val="9"/>
    <w:semiHidden/>
    <w:rsid w:val="00AC1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730"/>
    <w:rPr>
      <w:rFonts w:eastAsiaTheme="majorEastAsia" w:cstheme="majorBidi"/>
      <w:color w:val="272727" w:themeColor="text1" w:themeTint="D8"/>
    </w:rPr>
  </w:style>
  <w:style w:type="paragraph" w:styleId="Title">
    <w:name w:val="Title"/>
    <w:basedOn w:val="Normal"/>
    <w:next w:val="Normal"/>
    <w:link w:val="TitleChar"/>
    <w:uiPriority w:val="10"/>
    <w:qFormat/>
    <w:rsid w:val="00AC1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730"/>
    <w:pPr>
      <w:spacing w:before="160"/>
      <w:jc w:val="center"/>
    </w:pPr>
    <w:rPr>
      <w:i/>
      <w:iCs/>
      <w:color w:val="404040" w:themeColor="text1" w:themeTint="BF"/>
    </w:rPr>
  </w:style>
  <w:style w:type="character" w:customStyle="1" w:styleId="QuoteChar">
    <w:name w:val="Quote Char"/>
    <w:basedOn w:val="DefaultParagraphFont"/>
    <w:link w:val="Quote"/>
    <w:uiPriority w:val="29"/>
    <w:rsid w:val="00AC1730"/>
    <w:rPr>
      <w:i/>
      <w:iCs/>
      <w:color w:val="404040" w:themeColor="text1" w:themeTint="BF"/>
    </w:rPr>
  </w:style>
  <w:style w:type="paragraph" w:styleId="ListParagraph">
    <w:name w:val="List Paragraph"/>
    <w:basedOn w:val="Normal"/>
    <w:uiPriority w:val="34"/>
    <w:qFormat/>
    <w:rsid w:val="00C373ED"/>
    <w:pPr>
      <w:ind w:left="720"/>
      <w:contextualSpacing/>
    </w:pPr>
  </w:style>
  <w:style w:type="character" w:styleId="IntenseEmphasis">
    <w:name w:val="Intense Emphasis"/>
    <w:basedOn w:val="DefaultParagraphFont"/>
    <w:uiPriority w:val="21"/>
    <w:qFormat/>
    <w:rsid w:val="00AC1730"/>
    <w:rPr>
      <w:i/>
      <w:iCs/>
      <w:color w:val="0F4761" w:themeColor="accent1" w:themeShade="BF"/>
    </w:rPr>
  </w:style>
  <w:style w:type="paragraph" w:styleId="IntenseQuote">
    <w:name w:val="Intense Quote"/>
    <w:basedOn w:val="Normal"/>
    <w:next w:val="Normal"/>
    <w:link w:val="IntenseQuoteChar"/>
    <w:uiPriority w:val="30"/>
    <w:qFormat/>
    <w:rsid w:val="00AC1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730"/>
    <w:rPr>
      <w:i/>
      <w:iCs/>
      <w:color w:val="0F4761" w:themeColor="accent1" w:themeShade="BF"/>
    </w:rPr>
  </w:style>
  <w:style w:type="character" w:styleId="IntenseReference">
    <w:name w:val="Intense Reference"/>
    <w:basedOn w:val="DefaultParagraphFont"/>
    <w:uiPriority w:val="32"/>
    <w:qFormat/>
    <w:rsid w:val="00AC1730"/>
    <w:rPr>
      <w:b/>
      <w:bCs/>
      <w:smallCaps/>
      <w:color w:val="0F4761" w:themeColor="accent1" w:themeShade="BF"/>
      <w:spacing w:val="5"/>
    </w:rPr>
  </w:style>
  <w:style w:type="paragraph" w:styleId="Header">
    <w:name w:val="header"/>
    <w:basedOn w:val="Normal"/>
    <w:link w:val="HeaderChar"/>
    <w:uiPriority w:val="99"/>
    <w:unhideWhenUsed/>
    <w:rsid w:val="00AC1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730"/>
  </w:style>
  <w:style w:type="paragraph" w:styleId="Footer">
    <w:name w:val="footer"/>
    <w:basedOn w:val="Normal"/>
    <w:link w:val="FooterChar"/>
    <w:uiPriority w:val="99"/>
    <w:unhideWhenUsed/>
    <w:rsid w:val="00AC1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730"/>
  </w:style>
  <w:style w:type="character" w:styleId="LineNumber">
    <w:name w:val="line number"/>
    <w:basedOn w:val="DefaultParagraphFont"/>
    <w:uiPriority w:val="99"/>
    <w:semiHidden/>
    <w:unhideWhenUsed/>
    <w:rsid w:val="00EB609A"/>
    <w:rPr>
      <w:color w:val="7F7F7F" w:themeColor="text1" w:themeTint="80"/>
      <w:sz w:val="18"/>
    </w:rPr>
  </w:style>
  <w:style w:type="character" w:styleId="Strong">
    <w:name w:val="Strong"/>
    <w:basedOn w:val="DefaultParagraphFont"/>
    <w:uiPriority w:val="22"/>
    <w:qFormat/>
    <w:rsid w:val="00D0092F"/>
    <w:rPr>
      <w:b/>
      <w:bCs/>
    </w:rPr>
  </w:style>
  <w:style w:type="character" w:styleId="CommentReference">
    <w:name w:val="annotation reference"/>
    <w:basedOn w:val="DefaultParagraphFont"/>
    <w:uiPriority w:val="99"/>
    <w:semiHidden/>
    <w:unhideWhenUsed/>
    <w:rsid w:val="004E258E"/>
    <w:rPr>
      <w:sz w:val="16"/>
      <w:szCs w:val="16"/>
    </w:rPr>
  </w:style>
  <w:style w:type="paragraph" w:styleId="CommentText">
    <w:name w:val="annotation text"/>
    <w:basedOn w:val="Normal"/>
    <w:link w:val="CommentTextChar"/>
    <w:uiPriority w:val="99"/>
    <w:unhideWhenUsed/>
    <w:rsid w:val="004E258E"/>
    <w:pPr>
      <w:spacing w:line="240" w:lineRule="auto"/>
    </w:pPr>
    <w:rPr>
      <w:szCs w:val="20"/>
    </w:rPr>
  </w:style>
  <w:style w:type="character" w:customStyle="1" w:styleId="CommentTextChar">
    <w:name w:val="Comment Text Char"/>
    <w:basedOn w:val="DefaultParagraphFont"/>
    <w:link w:val="CommentText"/>
    <w:uiPriority w:val="99"/>
    <w:rsid w:val="004E258E"/>
    <w:rPr>
      <w:sz w:val="20"/>
      <w:szCs w:val="20"/>
    </w:rPr>
  </w:style>
  <w:style w:type="paragraph" w:styleId="CommentSubject">
    <w:name w:val="annotation subject"/>
    <w:basedOn w:val="CommentText"/>
    <w:next w:val="CommentText"/>
    <w:link w:val="CommentSubjectChar"/>
    <w:uiPriority w:val="99"/>
    <w:semiHidden/>
    <w:unhideWhenUsed/>
    <w:rsid w:val="004E258E"/>
    <w:rPr>
      <w:b/>
      <w:bCs/>
    </w:rPr>
  </w:style>
  <w:style w:type="character" w:customStyle="1" w:styleId="CommentSubjectChar">
    <w:name w:val="Comment Subject Char"/>
    <w:basedOn w:val="CommentTextChar"/>
    <w:link w:val="CommentSubject"/>
    <w:uiPriority w:val="99"/>
    <w:semiHidden/>
    <w:rsid w:val="004E258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A19E1-B58D-4A1B-B65F-3C4EE75DAD03}">
  <ds:schemaRefs>
    <ds:schemaRef ds:uri="http://schemas.openxmlformats.org/officeDocument/2006/bibliography"/>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7</Pages>
  <Words>3164</Words>
  <Characters>18037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Miles</dc:creator>
  <cp:keywords/>
  <dc:description/>
  <cp:lastModifiedBy>Nathan Miles</cp:lastModifiedBy>
  <cp:revision>2</cp:revision>
  <dcterms:created xsi:type="dcterms:W3CDTF">2025-12-01T03:09:00Z</dcterms:created>
  <dcterms:modified xsi:type="dcterms:W3CDTF">2025-12-01T03:09:00Z</dcterms:modified>
</cp:coreProperties>
</file>