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8D2AF" w14:textId="346DBCFC" w:rsidR="00F9531E" w:rsidRPr="00F9531E" w:rsidRDefault="00F9531E" w:rsidP="00A92200">
      <w:pPr>
        <w:spacing w:before="240" w:after="240" w:line="264" w:lineRule="auto"/>
        <w:rPr>
          <w:sz w:val="20"/>
          <w:szCs w:val="20"/>
        </w:rPr>
      </w:pPr>
      <w:r w:rsidRPr="00F9531E">
        <w:rPr>
          <w:sz w:val="20"/>
          <w:szCs w:val="20"/>
        </w:rPr>
        <w:t>Chewy's vendor-facing data-shares currently operate through two primary channels: CPFR (Collaborative Planning, Forecasting, and Replenishment) and VDS (Vendor Data Services). CPFR serves as the foundational data-sharing platform, reaching approximately 70% of Chewy's vendor population through weekly emailed reports containing tactical inventory and forecasting data. In contrast, VDS operates as a premium, revenue-generating service offering strategic insights to a select group of vendors through dashboard and API access.</w:t>
      </w:r>
    </w:p>
    <w:p w14:paraId="7C610BD1" w14:textId="540607DC" w:rsidR="00F9531E" w:rsidRDefault="00F9531E" w:rsidP="00A073CC">
      <w:pPr>
        <w:spacing w:before="120" w:after="120" w:line="264" w:lineRule="auto"/>
        <w:rPr>
          <w:sz w:val="20"/>
          <w:szCs w:val="20"/>
        </w:rPr>
      </w:pPr>
      <w:r w:rsidRPr="00F9531E">
        <w:rPr>
          <w:sz w:val="20"/>
          <w:szCs w:val="20"/>
        </w:rPr>
        <w:t>The table below illustrates the distinct positioning, scope, and operational characteristics of these two systems. Key differentiators include CPFR's broad vendor reach (2,275+ vendors) versus VDS's targeted approach (70 total vendors across both tiers), their contrasting revenue models (free versus fee-based), and their differing data granularity and access methods. This comparison becomes particularly relevant as Chewy evaluates options for modernizing CPFR's email-based delivery system while considering the broader implications for data accessibility, system integration, and vendor relationships</w:t>
      </w:r>
      <w:r>
        <w:rPr>
          <w:sz w:val="20"/>
          <w:szCs w:val="20"/>
        </w:rPr>
        <w:t>.</w:t>
      </w:r>
    </w:p>
    <w:p w14:paraId="726CD3CB" w14:textId="77777777" w:rsidR="00F9531E" w:rsidRPr="00F9531E" w:rsidRDefault="00F9531E" w:rsidP="00A073CC">
      <w:pPr>
        <w:spacing w:before="120" w:after="120" w:line="264" w:lineRule="auto"/>
        <w:rPr>
          <w:sz w:val="20"/>
          <w:szCs w:val="20"/>
        </w:rPr>
      </w:pPr>
    </w:p>
    <w:tbl>
      <w:tblPr>
        <w:tblW w:w="10224" w:type="dxa"/>
        <w:tblLayout w:type="fixed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584"/>
        <w:gridCol w:w="2880"/>
        <w:gridCol w:w="2880"/>
        <w:gridCol w:w="2880"/>
      </w:tblGrid>
      <w:tr w:rsidR="00EB5E21" w:rsidRPr="00A073CC" w14:paraId="6E33E894" w14:textId="77777777" w:rsidTr="00EB5E21">
        <w:trPr>
          <w:trHeight w:val="285"/>
        </w:trPr>
        <w:tc>
          <w:tcPr>
            <w:tcW w:w="1584" w:type="dxa"/>
            <w:tcBorders>
              <w:top w:val="single" w:sz="8" w:space="0" w:color="0070C0"/>
              <w:left w:val="single" w:sz="8" w:space="0" w:color="0070C0"/>
              <w:bottom w:val="nil"/>
              <w:right w:val="nil"/>
            </w:tcBorders>
            <w:shd w:val="clear" w:color="000000" w:fill="0070C0"/>
            <w:noWrap/>
            <w:hideMark/>
          </w:tcPr>
          <w:p w14:paraId="66A52971" w14:textId="77777777" w:rsidR="00EB5E21" w:rsidRPr="00A073CC" w:rsidRDefault="00EB5E21" w:rsidP="00A073CC">
            <w:pPr>
              <w:spacing w:after="0" w:line="240" w:lineRule="auto"/>
              <w:ind w:firstLineChars="100" w:firstLine="201"/>
              <w:jc w:val="right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nil"/>
              <w:right w:val="nil"/>
            </w:tcBorders>
            <w:shd w:val="clear" w:color="000000" w:fill="0070C0"/>
            <w:noWrap/>
            <w:hideMark/>
          </w:tcPr>
          <w:p w14:paraId="00A55E5B" w14:textId="77777777" w:rsidR="00EB5E21" w:rsidRPr="00A073CC" w:rsidRDefault="00EB5E21" w:rsidP="00A073CC">
            <w:pPr>
              <w:spacing w:after="0" w:line="240" w:lineRule="auto"/>
              <w:ind w:left="-15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CPFR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nil"/>
              <w:right w:val="nil"/>
            </w:tcBorders>
            <w:shd w:val="clear" w:color="000000" w:fill="0070C0"/>
            <w:noWrap/>
            <w:hideMark/>
          </w:tcPr>
          <w:p w14:paraId="1551D55A" w14:textId="77777777" w:rsidR="00EB5E21" w:rsidRPr="00A073CC" w:rsidRDefault="00EB5E21" w:rsidP="00A073C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VDS Premium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nil"/>
              <w:right w:val="single" w:sz="8" w:space="0" w:color="0070C0"/>
            </w:tcBorders>
            <w:shd w:val="clear" w:color="000000" w:fill="0070C0"/>
            <w:noWrap/>
            <w:hideMark/>
          </w:tcPr>
          <w:p w14:paraId="6C17F58C" w14:textId="77777777" w:rsidR="00EB5E21" w:rsidRPr="00A073CC" w:rsidRDefault="00EB5E21" w:rsidP="00A073C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VDS Direct</w:t>
            </w:r>
          </w:p>
        </w:tc>
      </w:tr>
      <w:tr w:rsidR="00EB5E21" w:rsidRPr="00A073CC" w14:paraId="32C7B400" w14:textId="77777777" w:rsidTr="00EB5E21">
        <w:trPr>
          <w:trHeight w:val="949"/>
        </w:trPr>
        <w:tc>
          <w:tcPr>
            <w:tcW w:w="1584" w:type="dxa"/>
            <w:tcBorders>
              <w:top w:val="single" w:sz="8" w:space="0" w:color="0070C0"/>
              <w:left w:val="single" w:sz="8" w:space="0" w:color="0070C0"/>
              <w:bottom w:val="nil"/>
              <w:right w:val="single" w:sz="8" w:space="0" w:color="0070C0"/>
            </w:tcBorders>
            <w:hideMark/>
          </w:tcPr>
          <w:p w14:paraId="586E652F" w14:textId="77777777" w:rsidR="00EB5E21" w:rsidRPr="00A073CC" w:rsidRDefault="00EB5E21" w:rsidP="00A073CC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Purpose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hideMark/>
          </w:tcPr>
          <w:p w14:paraId="30157CF5" w14:textId="77777777" w:rsidR="00EB5E21" w:rsidRPr="00A073CC" w:rsidRDefault="00EB5E21" w:rsidP="00A073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Provides fundamental data used by vendors and ISMs for Inventory and order planning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hideMark/>
          </w:tcPr>
          <w:p w14:paraId="758943B6" w14:textId="77777777" w:rsidR="00EB5E21" w:rsidRPr="00A073CC" w:rsidRDefault="00EB5E21" w:rsidP="00A073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Provide a broader set of data to facilitate insights and deep analysis  of supply, operations, and performance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hideMark/>
          </w:tcPr>
          <w:p w14:paraId="0E8C2DDA" w14:textId="77777777" w:rsidR="00EB5E21" w:rsidRPr="00A073CC" w:rsidRDefault="00EB5E21" w:rsidP="00A073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Provides highly granular and customizable data feeds designed to integrate directly into vendor systems</w:t>
            </w:r>
          </w:p>
        </w:tc>
      </w:tr>
      <w:tr w:rsidR="00EB5E21" w:rsidRPr="00A073CC" w14:paraId="6C4342DF" w14:textId="77777777" w:rsidTr="00EB5E21">
        <w:trPr>
          <w:trHeight w:val="409"/>
        </w:trPr>
        <w:tc>
          <w:tcPr>
            <w:tcW w:w="158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AE9F8"/>
            <w:hideMark/>
          </w:tcPr>
          <w:p w14:paraId="3251397F" w14:textId="77777777" w:rsidR="00EB5E21" w:rsidRPr="00A073CC" w:rsidRDefault="00EB5E21" w:rsidP="00A073CC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Share Method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hideMark/>
          </w:tcPr>
          <w:p w14:paraId="2CBAD807" w14:textId="77777777" w:rsidR="00EB5E21" w:rsidRPr="00A073CC" w:rsidRDefault="00EB5E21" w:rsidP="00A073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Emailed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hideMark/>
          </w:tcPr>
          <w:p w14:paraId="327B60B2" w14:textId="77777777" w:rsidR="00EB5E21" w:rsidRPr="00A073CC" w:rsidRDefault="00EB5E21" w:rsidP="00A073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Dashboard (Tableau Server)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noWrap/>
            <w:hideMark/>
          </w:tcPr>
          <w:p w14:paraId="2D4C897D" w14:textId="77777777" w:rsidR="00EB5E21" w:rsidRPr="00A073CC" w:rsidRDefault="00EB5E21" w:rsidP="00A073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API access</w:t>
            </w:r>
          </w:p>
        </w:tc>
      </w:tr>
      <w:tr w:rsidR="00EB5E21" w:rsidRPr="00A073CC" w14:paraId="0CBCD960" w14:textId="77777777" w:rsidTr="00EB5E21">
        <w:trPr>
          <w:trHeight w:val="547"/>
        </w:trPr>
        <w:tc>
          <w:tcPr>
            <w:tcW w:w="1584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hideMark/>
          </w:tcPr>
          <w:p w14:paraId="6B694345" w14:textId="77777777" w:rsidR="00EB5E21" w:rsidRPr="00A073CC" w:rsidRDefault="00EB5E21" w:rsidP="00A073CC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Level of Granularity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noWrap/>
            <w:hideMark/>
          </w:tcPr>
          <w:p w14:paraId="6FC3FF67" w14:textId="77777777" w:rsidR="00EB5E21" w:rsidRPr="00A073CC" w:rsidRDefault="00EB5E21" w:rsidP="00A073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SKU/weekly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noWrap/>
            <w:hideMark/>
          </w:tcPr>
          <w:p w14:paraId="5DBB01E4" w14:textId="77777777" w:rsidR="00EB5E21" w:rsidRPr="00A073CC" w:rsidRDefault="00EB5E21" w:rsidP="00A073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SKU/daily; SKU/weekly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hideMark/>
          </w:tcPr>
          <w:p w14:paraId="5D2FC59C" w14:textId="06A39CD9" w:rsidR="00EB5E21" w:rsidRPr="00A073CC" w:rsidRDefault="00EB5E21" w:rsidP="00A073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SKU/daily; SKU/weekly</w:t>
            </w: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A073CC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   (depending on subscription)</w:t>
            </w:r>
          </w:p>
        </w:tc>
      </w:tr>
      <w:tr w:rsidR="00EB5E21" w:rsidRPr="00A073CC" w14:paraId="752A5A68" w14:textId="77777777" w:rsidTr="00EB5E21">
        <w:trPr>
          <w:trHeight w:val="1489"/>
        </w:trPr>
        <w:tc>
          <w:tcPr>
            <w:tcW w:w="158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AE9F8"/>
            <w:hideMark/>
          </w:tcPr>
          <w:p w14:paraId="43EBFA56" w14:textId="77777777" w:rsidR="00EB5E21" w:rsidRPr="00A073CC" w:rsidRDefault="00EB5E21" w:rsidP="00A073CC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Principle</w:t>
            </w: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Characteristics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2FEA6E94" w14:textId="77777777" w:rsidR="00EB5E21" w:rsidRDefault="00EB5E21" w:rsidP="000B372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65" w:hanging="13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Weekly 'snapshot' data</w:t>
            </w:r>
          </w:p>
          <w:p w14:paraId="45805BEB" w14:textId="77777777" w:rsidR="00EB5E21" w:rsidRDefault="00EB5E21" w:rsidP="000B372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65" w:hanging="13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"Tactical" data-scope</w:t>
            </w:r>
          </w:p>
          <w:p w14:paraId="6234DAA4" w14:textId="77777777" w:rsidR="00EB5E21" w:rsidRDefault="00EB5E21" w:rsidP="000B372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65" w:hanging="13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Principle performance metrics</w:t>
            </w:r>
          </w:p>
          <w:p w14:paraId="23233285" w14:textId="77777777" w:rsidR="00EB5E21" w:rsidRDefault="00EB5E21" w:rsidP="000B372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65" w:hanging="13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Tiered subsets of data</w:t>
            </w:r>
          </w:p>
          <w:p w14:paraId="57FA82AB" w14:textId="347FBA84" w:rsidR="00EB5E21" w:rsidRPr="00A073CC" w:rsidRDefault="00EB5E21" w:rsidP="000B372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65" w:hanging="13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Fixed aggregation levels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14DD3F7F" w14:textId="77777777" w:rsidR="00EB5E21" w:rsidRDefault="00EB5E21" w:rsidP="000B372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75" w:hanging="16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On-demand access</w:t>
            </w:r>
          </w:p>
          <w:p w14:paraId="112D79BF" w14:textId="0DEE9F57" w:rsidR="00EB5E21" w:rsidRDefault="00EB5E21" w:rsidP="000B372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75" w:hanging="16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Weekly or daily-refreshed, depending on type and source</w:t>
            </w:r>
          </w:p>
          <w:p w14:paraId="39DC1FCA" w14:textId="77777777" w:rsidR="00EB5E21" w:rsidRDefault="00EB5E21" w:rsidP="000B372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75" w:hanging="16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"Strategic" data-scope</w:t>
            </w:r>
          </w:p>
          <w:p w14:paraId="3588EAF9" w14:textId="1B702F87" w:rsidR="00EB5E21" w:rsidRPr="000B3723" w:rsidRDefault="00EB5E21" w:rsidP="000B372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75" w:hanging="16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Limited ability to 'drill-down' into data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048AE499" w14:textId="77777777" w:rsidR="00EB5E21" w:rsidRDefault="00EB5E21" w:rsidP="000B372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90" w:hanging="18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On-demand access</w:t>
            </w:r>
          </w:p>
          <w:p w14:paraId="2F49E939" w14:textId="77777777" w:rsidR="00EB5E21" w:rsidRDefault="00EB5E21" w:rsidP="000B372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90" w:hanging="18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Weekly or daily refreshes</w:t>
            </w:r>
          </w:p>
          <w:p w14:paraId="0E2F60CC" w14:textId="77777777" w:rsidR="00EB5E21" w:rsidRDefault="00EB5E21" w:rsidP="000B372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90" w:hanging="18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"Exploratory" data-scope</w:t>
            </w:r>
          </w:p>
          <w:p w14:paraId="443F0B61" w14:textId="77777777" w:rsidR="00EB5E21" w:rsidRDefault="00EB5E21" w:rsidP="000B372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90" w:hanging="18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Integrates directly into vendor systems</w:t>
            </w:r>
          </w:p>
          <w:p w14:paraId="230E42EE" w14:textId="1AD04DA2" w:rsidR="00EB5E21" w:rsidRPr="000B3723" w:rsidRDefault="00EB5E21" w:rsidP="000B372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90" w:hanging="18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Permits complex queries</w:t>
            </w:r>
          </w:p>
        </w:tc>
      </w:tr>
      <w:tr w:rsidR="00EB5E21" w:rsidRPr="00A073CC" w14:paraId="61C334C0" w14:textId="77777777" w:rsidTr="00EB5E21">
        <w:trPr>
          <w:trHeight w:val="3130"/>
        </w:trPr>
        <w:tc>
          <w:tcPr>
            <w:tcW w:w="1584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hideMark/>
          </w:tcPr>
          <w:p w14:paraId="74DB3F97" w14:textId="77777777" w:rsidR="00EB5E21" w:rsidRPr="00A073CC" w:rsidRDefault="00EB5E21" w:rsidP="00A073CC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Data-Shared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hideMark/>
          </w:tcPr>
          <w:p w14:paraId="545F03A6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55" w:hanging="180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Forecast</w:t>
            </w:r>
          </w:p>
          <w:p w14:paraId="5B38F223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55" w:hanging="180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Autoship</w:t>
            </w:r>
          </w:p>
          <w:p w14:paraId="60AD057F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55" w:hanging="180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Inventory</w:t>
            </w:r>
          </w:p>
          <w:p w14:paraId="214E70BA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55" w:hanging="180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OOS</w:t>
            </w:r>
          </w:p>
          <w:p w14:paraId="212D4A6C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55" w:hanging="180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Fill Rate</w:t>
            </w:r>
          </w:p>
          <w:p w14:paraId="724AA7E9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55" w:hanging="180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DOS</w:t>
            </w:r>
          </w:p>
          <w:p w14:paraId="5AA754B5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55" w:hanging="180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NOP</w:t>
            </w:r>
          </w:p>
          <w:p w14:paraId="4A317734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55" w:hanging="18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Catalog  Details</w:t>
            </w:r>
          </w:p>
          <w:p w14:paraId="013FA749" w14:textId="06E689E2" w:rsidR="00946454" w:rsidRPr="00946454" w:rsidRDefault="00946454" w:rsidP="00946454">
            <w:pPr>
              <w:rPr>
                <w:rFonts w:ascii="Aptos Narrow" w:eastAsia="Times New Roman" w:hAnsi="Aptos Narrow" w:cs="Times New Roman"/>
                <w:b/>
                <w:bCs/>
                <w:i/>
                <w:iCs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br/>
            </w:r>
            <w:r w:rsidRPr="009464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E97132" w:themeColor="accent2"/>
                <w:kern w:val="0"/>
                <w:sz w:val="20"/>
                <w:szCs w:val="20"/>
                <w:bdr w:val="single" w:sz="12" w:space="0" w:color="E97132" w:themeColor="accent2"/>
                <w14:ligatures w14:val="none"/>
              </w:rPr>
              <w:t>CPFR Knowledge Domain</w:t>
            </w:r>
            <w:r w:rsidRPr="009464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E97132" w:themeColor="accent2"/>
                <w:kern w:val="0"/>
                <w:sz w:val="20"/>
                <w:szCs w:val="20"/>
                <w:bdr w:val="single" w:sz="4" w:space="0" w:color="auto"/>
                <w14:ligatures w14:val="none"/>
              </w:rPr>
              <w:br/>
            </w:r>
            <w:r w:rsidRPr="009464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70C0"/>
                <w:kern w:val="0"/>
                <w:sz w:val="20"/>
                <w:szCs w:val="20"/>
                <w:bdr w:val="single" w:sz="12" w:space="0" w:color="0070C0"/>
                <w14:ligatures w14:val="none"/>
              </w:rPr>
              <w:t>VDS Knowledge Domain</w:t>
            </w:r>
          </w:p>
          <w:p w14:paraId="5C5DA9EC" w14:textId="3E97A525" w:rsidR="00946454" w:rsidRPr="00946454" w:rsidRDefault="00946454" w:rsidP="00946454"/>
        </w:tc>
        <w:tc>
          <w:tcPr>
            <w:tcW w:w="288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hideMark/>
          </w:tcPr>
          <w:p w14:paraId="1F2BDF91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65" w:hanging="195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Autoship Analysis</w:t>
            </w:r>
          </w:p>
          <w:p w14:paraId="021AF632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65" w:hanging="195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Inventory &amp; Forecast</w:t>
            </w:r>
          </w:p>
          <w:p w14:paraId="6E048B08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65" w:hanging="195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Location Out of Stock</w:t>
            </w:r>
          </w:p>
          <w:p w14:paraId="04CC3FA0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65" w:hanging="195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PDP Out of Stock</w:t>
            </w:r>
          </w:p>
          <w:p w14:paraId="0EBD2744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65" w:hanging="195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Procurement Scorecard</w:t>
            </w:r>
          </w:p>
          <w:p w14:paraId="1BEC7311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65" w:hanging="195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Customer Experience Insights</w:t>
            </w:r>
          </w:p>
          <w:p w14:paraId="1AE5DA20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65" w:hanging="195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Attachment Detail</w:t>
            </w:r>
          </w:p>
          <w:p w14:paraId="03F6D540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65" w:hanging="195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Basket Overview</w:t>
            </w:r>
          </w:p>
          <w:p w14:paraId="6F13EE1B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65" w:hanging="195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Competitive Comparison</w:t>
            </w:r>
          </w:p>
          <w:p w14:paraId="241D03B7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65" w:hanging="195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Returns</w:t>
            </w:r>
          </w:p>
          <w:p w14:paraId="72EC97A7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65" w:hanging="195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Sales &amp; Geographical Metrics</w:t>
            </w:r>
          </w:p>
          <w:p w14:paraId="6A04F832" w14:textId="349C8023" w:rsidR="00EB5E21" w:rsidRPr="000B3723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65" w:hanging="19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Trial &amp; Repeat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hideMark/>
          </w:tcPr>
          <w:p w14:paraId="07F5E8F3" w14:textId="77777777" w:rsidR="00EB5E21" w:rsidRPr="000B3723" w:rsidRDefault="00EB5E21" w:rsidP="000B3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[Daily &amp; Weekly]:</w:t>
            </w:r>
          </w:p>
          <w:p w14:paraId="0BF8C6EB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90" w:hanging="180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Sales</w:t>
            </w:r>
          </w:p>
          <w:p w14:paraId="52BCDEF3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90" w:hanging="180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Autoship</w:t>
            </w:r>
          </w:p>
          <w:p w14:paraId="20B7EA20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90" w:hanging="180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Receipt / Returns</w:t>
            </w:r>
          </w:p>
          <w:p w14:paraId="1CF438DE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90" w:hanging="180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Trial Rate / Review Avg.</w:t>
            </w:r>
          </w:p>
          <w:p w14:paraId="6815D6E1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90" w:hanging="180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ASN &amp; Compliance</w:t>
            </w:r>
          </w:p>
          <w:p w14:paraId="11B5B25F" w14:textId="77777777" w:rsidR="00EB5E21" w:rsidRPr="00946454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90" w:hanging="180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Inventory direct feed</w:t>
            </w:r>
          </w:p>
          <w:p w14:paraId="6B98D8D4" w14:textId="55434B89" w:rsidR="00EB5E21" w:rsidRPr="000B3723" w:rsidRDefault="00EB5E21" w:rsidP="000B372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90" w:hanging="18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46454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Forecast direct feed</w:t>
            </w:r>
          </w:p>
        </w:tc>
      </w:tr>
      <w:tr w:rsidR="00EB5E21" w:rsidRPr="00A073CC" w14:paraId="0B116F57" w14:textId="77777777" w:rsidTr="00EB5E21">
        <w:trPr>
          <w:trHeight w:val="295"/>
        </w:trPr>
        <w:tc>
          <w:tcPr>
            <w:tcW w:w="158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AE9F8"/>
            <w:hideMark/>
          </w:tcPr>
          <w:p w14:paraId="18CB8DC8" w14:textId="74EA58AC" w:rsidR="00EB5E21" w:rsidRPr="00A073CC" w:rsidRDefault="00EB5E21" w:rsidP="00A073CC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Revenue</w:t>
            </w:r>
            <w:r w:rsid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Model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hideMark/>
          </w:tcPr>
          <w:p w14:paraId="43D69A90" w14:textId="77777777" w:rsidR="00EB5E21" w:rsidRPr="00A073CC" w:rsidRDefault="00EB5E21" w:rsidP="00A073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None (Free)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hideMark/>
          </w:tcPr>
          <w:p w14:paraId="2C3EE829" w14:textId="18225B48" w:rsidR="00EB5E21" w:rsidRPr="00A073CC" w:rsidRDefault="00EB5E21" w:rsidP="00A073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3% of COGS, $400K max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noWrap/>
            <w:hideMark/>
          </w:tcPr>
          <w:p w14:paraId="0716A700" w14:textId="75D04DF9" w:rsidR="00EB5E21" w:rsidRPr="00A073CC" w:rsidRDefault="00EB5E21" w:rsidP="00A073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+ $100K (w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ee</w:t>
            </w: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kly)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+$250K (daily)</w:t>
            </w:r>
          </w:p>
        </w:tc>
      </w:tr>
      <w:tr w:rsidR="00EB5E21" w:rsidRPr="00A073CC" w14:paraId="0204818F" w14:textId="77777777" w:rsidTr="00EB5E21">
        <w:trPr>
          <w:trHeight w:val="565"/>
        </w:trPr>
        <w:tc>
          <w:tcPr>
            <w:tcW w:w="1584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hideMark/>
          </w:tcPr>
          <w:p w14:paraId="36E902E5" w14:textId="2EE64FF9" w:rsidR="00EB5E21" w:rsidRPr="00A073CC" w:rsidRDefault="00EB5E21" w:rsidP="00A073CC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Served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hideMark/>
          </w:tcPr>
          <w:p w14:paraId="166D4AA2" w14:textId="77777777" w:rsidR="00EB5E21" w:rsidRDefault="00EB5E21" w:rsidP="000B372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255" w:hanging="19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≈1,650 FC-inventory vendors</w:t>
            </w:r>
          </w:p>
          <w:p w14:paraId="1BF3E19C" w14:textId="4DDF9BEA" w:rsidR="00EB5E21" w:rsidRPr="00A073CC" w:rsidRDefault="00EB5E21" w:rsidP="000B372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255" w:hanging="19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≈625 Drop-ship vendors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hideMark/>
          </w:tcPr>
          <w:p w14:paraId="20BB1969" w14:textId="77777777" w:rsidR="00EB5E21" w:rsidRDefault="00EB5E21" w:rsidP="000B372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65" w:hanging="19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65 unique vendors</w:t>
            </w:r>
          </w:p>
          <w:p w14:paraId="309ED1E6" w14:textId="1902EFED" w:rsidR="00EB5E21" w:rsidRPr="000B3723" w:rsidRDefault="00EB5E21" w:rsidP="000B372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65" w:hanging="19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Includes Top 20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hideMark/>
          </w:tcPr>
          <w:p w14:paraId="4591BCD0" w14:textId="77777777" w:rsidR="00EB5E21" w:rsidRDefault="00EB5E21" w:rsidP="000B372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90" w:hanging="18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 unique vendors</w:t>
            </w:r>
          </w:p>
          <w:p w14:paraId="5E4E6EFB" w14:textId="510EF31F" w:rsidR="00EB5E21" w:rsidRPr="000B3723" w:rsidRDefault="00EB5E21" w:rsidP="000B372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90" w:hanging="18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All within Top 10</w:t>
            </w:r>
          </w:p>
        </w:tc>
      </w:tr>
      <w:tr w:rsidR="00EB5E21" w:rsidRPr="00A073CC" w14:paraId="784752C9" w14:textId="77777777" w:rsidTr="00EB5E21">
        <w:trPr>
          <w:trHeight w:val="1555"/>
        </w:trPr>
        <w:tc>
          <w:tcPr>
            <w:tcW w:w="158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AE9F8"/>
            <w:hideMark/>
          </w:tcPr>
          <w:p w14:paraId="01EAED6C" w14:textId="77777777" w:rsidR="00EB5E21" w:rsidRPr="00A073CC" w:rsidRDefault="00EB5E21" w:rsidP="00A073CC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073C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Use-Cases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000000" w:fill="DAE9F8"/>
            <w:hideMark/>
          </w:tcPr>
          <w:p w14:paraId="09A67B3B" w14:textId="4D3E3872" w:rsidR="00EB5E21" w:rsidRDefault="00EB5E21" w:rsidP="000B372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55" w:hanging="19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"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lan-of-record" forecast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ing</w:t>
            </w:r>
          </w:p>
          <w:p w14:paraId="29EB9DF6" w14:textId="77777777" w:rsidR="00EB5E21" w:rsidRDefault="00EB5E21" w:rsidP="000B372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55" w:hanging="19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Joint business planning</w:t>
            </w:r>
          </w:p>
          <w:p w14:paraId="75BB629B" w14:textId="6290BF56" w:rsidR="00EB5E21" w:rsidRDefault="00EB5E21" w:rsidP="000B372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55" w:hanging="19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</w:t>
            </w: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endor scorecard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reference</w:t>
            </w:r>
          </w:p>
          <w:p w14:paraId="26B0B671" w14:textId="6453D402" w:rsidR="00F91F7F" w:rsidRDefault="00F91F7F" w:rsidP="00F91F7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55" w:hanging="19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Tracking inventory health</w:t>
            </w:r>
          </w:p>
          <w:p w14:paraId="010FFB47" w14:textId="7FDB9A05" w:rsidR="00EB5E21" w:rsidRPr="00F91F7F" w:rsidRDefault="00EB5E21" w:rsidP="00F91F7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55" w:hanging="19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Basis for over/under performance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alerts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000000" w:fill="DAE9F8"/>
            <w:hideMark/>
          </w:tcPr>
          <w:p w14:paraId="70E7CD88" w14:textId="77777777" w:rsidR="00EB5E21" w:rsidRDefault="00EB5E21" w:rsidP="000B372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165" w:hanging="19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Root-cause analysis (vendor)</w:t>
            </w:r>
          </w:p>
          <w:p w14:paraId="515CF5FE" w14:textId="77777777" w:rsidR="00EB5E21" w:rsidRDefault="00EB5E21" w:rsidP="000B372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165" w:hanging="19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Sales auditing</w:t>
            </w:r>
          </w:p>
          <w:p w14:paraId="06F7D57D" w14:textId="22F0FDDE" w:rsidR="00EB5E21" w:rsidRDefault="00EB5E21" w:rsidP="000B372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165" w:hanging="19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EDI </w:t>
            </w:r>
            <w:r w:rsid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issue </w:t>
            </w: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confirmation</w:t>
            </w:r>
          </w:p>
          <w:p w14:paraId="44C33BD9" w14:textId="77777777" w:rsidR="00EB5E21" w:rsidRDefault="00EB5E21" w:rsidP="000B372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165" w:hanging="19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Consumer purchase behavior</w:t>
            </w:r>
          </w:p>
          <w:p w14:paraId="5098F3C4" w14:textId="0BCCA42E" w:rsidR="00EB5E21" w:rsidRPr="000B3723" w:rsidRDefault="00EB5E21" w:rsidP="000B372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165" w:hanging="195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Competitor analysis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000000" w:fill="DAE9F8"/>
            <w:hideMark/>
          </w:tcPr>
          <w:p w14:paraId="63A47FB9" w14:textId="77777777" w:rsidR="00EB5E21" w:rsidRDefault="00EB5E21" w:rsidP="000B372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90" w:hanging="18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Complex/granular analysis</w:t>
            </w:r>
          </w:p>
          <w:p w14:paraId="1E95A721" w14:textId="77777777" w:rsidR="00EB5E21" w:rsidRDefault="00EB5E21" w:rsidP="000B372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90" w:hanging="18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POS </w:t>
            </w:r>
          </w:p>
          <w:p w14:paraId="3D4AC3D3" w14:textId="47478A69" w:rsidR="00EB5E21" w:rsidRPr="000B3723" w:rsidRDefault="00EB5E21" w:rsidP="000B372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90" w:hanging="18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B37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Direct database integration</w:t>
            </w:r>
          </w:p>
        </w:tc>
      </w:tr>
    </w:tbl>
    <w:p w14:paraId="2E34F6D4" w14:textId="77777777" w:rsidR="002328DB" w:rsidRDefault="002328DB" w:rsidP="00F9531E">
      <w:pPr>
        <w:spacing w:before="240" w:after="120" w:line="264" w:lineRule="auto"/>
        <w:rPr>
          <w:sz w:val="20"/>
          <w:szCs w:val="20"/>
        </w:rPr>
      </w:pPr>
    </w:p>
    <w:p w14:paraId="6CCC0719" w14:textId="208BCC9A" w:rsidR="00A073CC" w:rsidRPr="00F9531E" w:rsidRDefault="00F9531E" w:rsidP="00F9531E">
      <w:pPr>
        <w:spacing w:before="240" w:after="120" w:line="264" w:lineRule="auto"/>
        <w:rPr>
          <w:sz w:val="20"/>
          <w:szCs w:val="20"/>
        </w:rPr>
      </w:pPr>
      <w:r w:rsidRPr="00F9531E">
        <w:rPr>
          <w:sz w:val="20"/>
          <w:szCs w:val="20"/>
        </w:rPr>
        <w:t>CPFR's tiered data access structure demonstrates how Chewy balances comprehensive vendor coverage with differentiated data needs. The four-tier system serves 2,274 total vendors, with Tier 1 (10 vendors) receiving the most comprehensive dataset including extended forecasting horizons, detailed inventory metrics, and complete catalog information. As tiers progress from 1 to 4, data granularity decreases while vendor count increases significantly—Tier 4 alone serves 1,255 vendors with basic operational metrics. This structure reflects Chewy's approach to scaling data-sharing across a diverse vendor base, with ISMs tailoring data access to align with each vendor's operational capabilities and business needs.</w:t>
      </w:r>
    </w:p>
    <w:p w14:paraId="3A1783B5" w14:textId="77777777" w:rsidR="00F91F7F" w:rsidRDefault="00F91F7F" w:rsidP="00A073CC">
      <w:pPr>
        <w:spacing w:before="120" w:after="120" w:line="264" w:lineRule="auto"/>
        <w:rPr>
          <w:rFonts w:ascii="Aptos Narrow" w:hAnsi="Aptos Narrow"/>
          <w:sz w:val="22"/>
          <w:szCs w:val="22"/>
        </w:rPr>
      </w:pPr>
    </w:p>
    <w:tbl>
      <w:tblPr>
        <w:tblW w:w="10513" w:type="dxa"/>
        <w:tblLook w:val="04A0" w:firstRow="1" w:lastRow="0" w:firstColumn="1" w:lastColumn="0" w:noHBand="0" w:noVBand="1"/>
      </w:tblPr>
      <w:tblGrid>
        <w:gridCol w:w="1153"/>
        <w:gridCol w:w="826"/>
        <w:gridCol w:w="1334"/>
        <w:gridCol w:w="426"/>
        <w:gridCol w:w="1734"/>
        <w:gridCol w:w="26"/>
        <w:gridCol w:w="2114"/>
        <w:gridCol w:w="20"/>
        <w:gridCol w:w="216"/>
        <w:gridCol w:w="250"/>
        <w:gridCol w:w="934"/>
        <w:gridCol w:w="1480"/>
      </w:tblGrid>
      <w:tr w:rsidR="00F91F7F" w:rsidRPr="00F91F7F" w14:paraId="77F9DD41" w14:textId="77777777" w:rsidTr="00624458">
        <w:trPr>
          <w:trHeight w:val="285"/>
        </w:trPr>
        <w:tc>
          <w:tcPr>
            <w:tcW w:w="1153" w:type="dxa"/>
            <w:tcBorders>
              <w:top w:val="single" w:sz="8" w:space="0" w:color="0070C0"/>
              <w:left w:val="single" w:sz="8" w:space="0" w:color="0070C0"/>
              <w:bottom w:val="nil"/>
              <w:right w:val="single" w:sz="8" w:space="0" w:color="0070C0"/>
            </w:tcBorders>
            <w:shd w:val="clear" w:color="000000" w:fill="0070C0"/>
            <w:noWrap/>
            <w:hideMark/>
          </w:tcPr>
          <w:p w14:paraId="4E53C4E2" w14:textId="4B6C0BED" w:rsidR="00624458" w:rsidRPr="00F91F7F" w:rsidRDefault="00624458" w:rsidP="0062445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CPFR</w:t>
            </w:r>
          </w:p>
        </w:tc>
        <w:tc>
          <w:tcPr>
            <w:tcW w:w="2160" w:type="dxa"/>
            <w:gridSpan w:val="2"/>
            <w:tcBorders>
              <w:top w:val="single" w:sz="8" w:space="0" w:color="0070C0"/>
              <w:left w:val="nil"/>
              <w:bottom w:val="nil"/>
              <w:right w:val="nil"/>
            </w:tcBorders>
            <w:shd w:val="clear" w:color="000000" w:fill="0070C0"/>
            <w:noWrap/>
            <w:hideMark/>
          </w:tcPr>
          <w:p w14:paraId="7EB4E365" w14:textId="77777777" w:rsidR="00F91F7F" w:rsidRPr="00F91F7F" w:rsidRDefault="00F91F7F" w:rsidP="00F91F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Tier 4</w:t>
            </w:r>
          </w:p>
        </w:tc>
        <w:tc>
          <w:tcPr>
            <w:tcW w:w="2160" w:type="dxa"/>
            <w:gridSpan w:val="2"/>
            <w:tcBorders>
              <w:top w:val="single" w:sz="8" w:space="0" w:color="0070C0"/>
              <w:left w:val="nil"/>
              <w:bottom w:val="nil"/>
              <w:right w:val="nil"/>
            </w:tcBorders>
            <w:shd w:val="clear" w:color="000000" w:fill="0070C0"/>
            <w:noWrap/>
            <w:hideMark/>
          </w:tcPr>
          <w:p w14:paraId="7C849CF6" w14:textId="77777777" w:rsidR="00F91F7F" w:rsidRPr="00F91F7F" w:rsidRDefault="00F91F7F" w:rsidP="00F91F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Tier 3</w:t>
            </w:r>
          </w:p>
        </w:tc>
        <w:tc>
          <w:tcPr>
            <w:tcW w:w="2160" w:type="dxa"/>
            <w:gridSpan w:val="3"/>
            <w:tcBorders>
              <w:top w:val="single" w:sz="8" w:space="0" w:color="0070C0"/>
              <w:left w:val="nil"/>
              <w:bottom w:val="nil"/>
              <w:right w:val="nil"/>
            </w:tcBorders>
            <w:shd w:val="clear" w:color="000000" w:fill="0070C0"/>
            <w:noWrap/>
            <w:hideMark/>
          </w:tcPr>
          <w:p w14:paraId="06869291" w14:textId="77777777" w:rsidR="00F91F7F" w:rsidRPr="00F91F7F" w:rsidRDefault="00F91F7F" w:rsidP="00F91F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Tier 2</w:t>
            </w:r>
          </w:p>
        </w:tc>
        <w:tc>
          <w:tcPr>
            <w:tcW w:w="2880" w:type="dxa"/>
            <w:gridSpan w:val="4"/>
            <w:tcBorders>
              <w:top w:val="single" w:sz="8" w:space="0" w:color="0070C0"/>
              <w:left w:val="nil"/>
              <w:bottom w:val="nil"/>
              <w:right w:val="nil"/>
            </w:tcBorders>
            <w:shd w:val="clear" w:color="000000" w:fill="0070C0"/>
            <w:noWrap/>
            <w:hideMark/>
          </w:tcPr>
          <w:p w14:paraId="73B16844" w14:textId="77777777" w:rsidR="00F91F7F" w:rsidRPr="00F91F7F" w:rsidRDefault="00F91F7F" w:rsidP="00F91F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Tier 1</w:t>
            </w:r>
          </w:p>
        </w:tc>
      </w:tr>
      <w:tr w:rsidR="00F91F7F" w:rsidRPr="00F91F7F" w14:paraId="5C853B16" w14:textId="77777777" w:rsidTr="00243839">
        <w:trPr>
          <w:trHeight w:val="285"/>
        </w:trPr>
        <w:tc>
          <w:tcPr>
            <w:tcW w:w="1153" w:type="dxa"/>
            <w:vMerge w:val="restart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noWrap/>
            <w:hideMark/>
          </w:tcPr>
          <w:p w14:paraId="47A9FDD3" w14:textId="77777777" w:rsidR="00F91F7F" w:rsidRPr="00F91F7F" w:rsidRDefault="00F91F7F" w:rsidP="00F91F7F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Forecast</w:t>
            </w:r>
          </w:p>
        </w:tc>
        <w:tc>
          <w:tcPr>
            <w:tcW w:w="2160" w:type="dxa"/>
            <w:gridSpan w:val="2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hideMark/>
          </w:tcPr>
          <w:p w14:paraId="5F7B6131" w14:textId="584C0193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Current Month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Forecast</w:t>
            </w:r>
          </w:p>
        </w:tc>
        <w:tc>
          <w:tcPr>
            <w:tcW w:w="2160" w:type="dxa"/>
            <w:gridSpan w:val="2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hideMark/>
          </w:tcPr>
          <w:p w14:paraId="1B4C70F7" w14:textId="27FB3BEF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Current Month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Forecast</w:t>
            </w:r>
          </w:p>
        </w:tc>
        <w:tc>
          <w:tcPr>
            <w:tcW w:w="2160" w:type="dxa"/>
            <w:gridSpan w:val="3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hideMark/>
          </w:tcPr>
          <w:p w14:paraId="5E96773D" w14:textId="7812A93A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Current Month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Forecast</w:t>
            </w:r>
          </w:p>
        </w:tc>
        <w:tc>
          <w:tcPr>
            <w:tcW w:w="2880" w:type="dxa"/>
            <w:gridSpan w:val="4"/>
            <w:tcBorders>
              <w:top w:val="single" w:sz="8" w:space="0" w:color="0070C0"/>
              <w:left w:val="nil"/>
              <w:bottom w:val="nil"/>
              <w:right w:val="single" w:sz="8" w:space="0" w:color="0070C0"/>
            </w:tcBorders>
            <w:hideMark/>
          </w:tcPr>
          <w:p w14:paraId="4D695240" w14:textId="339C5E33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Current Month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Forecast</w:t>
            </w:r>
          </w:p>
        </w:tc>
      </w:tr>
      <w:tr w:rsidR="00F91F7F" w:rsidRPr="00F91F7F" w14:paraId="7F17E4B2" w14:textId="77777777" w:rsidTr="00243839">
        <w:trPr>
          <w:trHeight w:val="285"/>
        </w:trPr>
        <w:tc>
          <w:tcPr>
            <w:tcW w:w="1153" w:type="dxa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7E38B306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6038ECEE" w14:textId="4A9B855C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Next 3-Months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Forecast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02E65B21" w14:textId="0307B2F2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Next 6-Months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Forecast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5A42AD58" w14:textId="6A120438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Next 6-Months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Forecast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single" w:sz="8" w:space="0" w:color="0070C0"/>
            </w:tcBorders>
            <w:hideMark/>
          </w:tcPr>
          <w:p w14:paraId="4B00F731" w14:textId="2303491E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Next 6-Months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Forecast</w:t>
            </w:r>
          </w:p>
        </w:tc>
      </w:tr>
      <w:tr w:rsidR="00F91F7F" w:rsidRPr="00F91F7F" w14:paraId="300AD3E4" w14:textId="77777777" w:rsidTr="00243839">
        <w:trPr>
          <w:trHeight w:val="285"/>
        </w:trPr>
        <w:tc>
          <w:tcPr>
            <w:tcW w:w="1153" w:type="dxa"/>
            <w:vMerge w:val="restart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AE9F8"/>
            <w:noWrap/>
            <w:hideMark/>
          </w:tcPr>
          <w:p w14:paraId="52AD6EF5" w14:textId="77777777" w:rsidR="00F91F7F" w:rsidRPr="00F91F7F" w:rsidRDefault="00F91F7F" w:rsidP="00F91F7F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Autoship</w:t>
            </w:r>
          </w:p>
        </w:tc>
        <w:tc>
          <w:tcPr>
            <w:tcW w:w="2160" w:type="dxa"/>
            <w:gridSpan w:val="2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6286953A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2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6017C54F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3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0AF94F7A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AS Demand (30 days)</w:t>
            </w:r>
          </w:p>
        </w:tc>
        <w:tc>
          <w:tcPr>
            <w:tcW w:w="2880" w:type="dxa"/>
            <w:gridSpan w:val="4"/>
            <w:tcBorders>
              <w:top w:val="single" w:sz="8" w:space="0" w:color="0070C0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196AC4C1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AS Demand (30 days)</w:t>
            </w:r>
          </w:p>
        </w:tc>
      </w:tr>
      <w:tr w:rsidR="00F91F7F" w:rsidRPr="00F91F7F" w14:paraId="5692629C" w14:textId="77777777" w:rsidTr="00243839">
        <w:trPr>
          <w:trHeight w:val="285"/>
        </w:trPr>
        <w:tc>
          <w:tcPr>
            <w:tcW w:w="1153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2A6F9903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8" w:space="0" w:color="0070C0"/>
              <w:right w:val="single" w:sz="4" w:space="0" w:color="0070C0"/>
            </w:tcBorders>
            <w:shd w:val="clear" w:color="000000" w:fill="DAE9F8"/>
            <w:hideMark/>
          </w:tcPr>
          <w:p w14:paraId="164DD0FF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8" w:space="0" w:color="0070C0"/>
              <w:right w:val="single" w:sz="4" w:space="0" w:color="0070C0"/>
            </w:tcBorders>
            <w:shd w:val="clear" w:color="000000" w:fill="DAE9F8"/>
            <w:hideMark/>
          </w:tcPr>
          <w:p w14:paraId="4257965C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8" w:space="0" w:color="0070C0"/>
              <w:right w:val="single" w:sz="4" w:space="0" w:color="0070C0"/>
            </w:tcBorders>
            <w:shd w:val="clear" w:color="000000" w:fill="DAE9F8"/>
            <w:hideMark/>
          </w:tcPr>
          <w:p w14:paraId="35302B74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000000" w:fill="DAE9F8"/>
            <w:hideMark/>
          </w:tcPr>
          <w:p w14:paraId="13FFC76D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AS-Backorders</w:t>
            </w:r>
          </w:p>
        </w:tc>
      </w:tr>
      <w:tr w:rsidR="00F91F7F" w:rsidRPr="00F91F7F" w14:paraId="1DBE8837" w14:textId="77777777" w:rsidTr="00243839">
        <w:trPr>
          <w:trHeight w:val="285"/>
        </w:trPr>
        <w:tc>
          <w:tcPr>
            <w:tcW w:w="1153" w:type="dxa"/>
            <w:vMerge w:val="restart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noWrap/>
            <w:hideMark/>
          </w:tcPr>
          <w:p w14:paraId="48DDD57C" w14:textId="77777777" w:rsidR="00F91F7F" w:rsidRPr="00F91F7F" w:rsidRDefault="00F91F7F" w:rsidP="00F91F7F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Inventory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0153D596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08357F50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0761CCCD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OH Units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single" w:sz="8" w:space="0" w:color="0070C0"/>
            </w:tcBorders>
            <w:hideMark/>
          </w:tcPr>
          <w:p w14:paraId="4DFA7DF2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OH Units</w:t>
            </w:r>
          </w:p>
        </w:tc>
      </w:tr>
      <w:tr w:rsidR="00F91F7F" w:rsidRPr="00F91F7F" w14:paraId="3377C58F" w14:textId="77777777" w:rsidTr="00243839">
        <w:trPr>
          <w:trHeight w:val="285"/>
        </w:trPr>
        <w:tc>
          <w:tcPr>
            <w:tcW w:w="1153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317C794D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0F465837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18B2F646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249E8910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OO Units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single" w:sz="8" w:space="0" w:color="0070C0"/>
            </w:tcBorders>
            <w:hideMark/>
          </w:tcPr>
          <w:p w14:paraId="70FCF60A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OO Units</w:t>
            </w:r>
          </w:p>
        </w:tc>
      </w:tr>
      <w:tr w:rsidR="00F91F7F" w:rsidRPr="00F91F7F" w14:paraId="6116A301" w14:textId="77777777" w:rsidTr="00243839">
        <w:trPr>
          <w:trHeight w:val="570"/>
        </w:trPr>
        <w:tc>
          <w:tcPr>
            <w:tcW w:w="1153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000000" w:fill="DAE9F8"/>
            <w:noWrap/>
            <w:hideMark/>
          </w:tcPr>
          <w:p w14:paraId="14E2D665" w14:textId="77777777" w:rsidR="00F91F7F" w:rsidRPr="00F91F7F" w:rsidRDefault="00F91F7F" w:rsidP="00F91F7F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OOS</w:t>
            </w:r>
          </w:p>
        </w:tc>
        <w:tc>
          <w:tcPr>
            <w:tcW w:w="2160" w:type="dxa"/>
            <w:gridSpan w:val="2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5D479331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2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1DE6A8FA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3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34ED410F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PDP %</w:t>
            </w: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(trailing 30 day avg)</w:t>
            </w:r>
          </w:p>
        </w:tc>
        <w:tc>
          <w:tcPr>
            <w:tcW w:w="2880" w:type="dxa"/>
            <w:gridSpan w:val="4"/>
            <w:tcBorders>
              <w:top w:val="single" w:sz="8" w:space="0" w:color="0070C0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0CE5A5CF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PDP %</w:t>
            </w: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(trailing 30 day avg)</w:t>
            </w:r>
          </w:p>
        </w:tc>
      </w:tr>
      <w:tr w:rsidR="00F91F7F" w:rsidRPr="00F91F7F" w14:paraId="37D6C66F" w14:textId="77777777" w:rsidTr="00243839">
        <w:trPr>
          <w:trHeight w:val="570"/>
        </w:trPr>
        <w:tc>
          <w:tcPr>
            <w:tcW w:w="115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noWrap/>
            <w:hideMark/>
          </w:tcPr>
          <w:p w14:paraId="3C784F08" w14:textId="77777777" w:rsidR="00F91F7F" w:rsidRPr="00F91F7F" w:rsidRDefault="00F91F7F" w:rsidP="00F91F7F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Fill Rate</w:t>
            </w:r>
          </w:p>
        </w:tc>
        <w:tc>
          <w:tcPr>
            <w:tcW w:w="2160" w:type="dxa"/>
            <w:gridSpan w:val="2"/>
            <w:tcBorders>
              <w:top w:val="single" w:sz="8" w:space="0" w:color="0070C0"/>
              <w:left w:val="nil"/>
              <w:bottom w:val="single" w:sz="8" w:space="0" w:color="0070C0"/>
              <w:right w:val="single" w:sz="4" w:space="0" w:color="0070C0"/>
            </w:tcBorders>
            <w:hideMark/>
          </w:tcPr>
          <w:p w14:paraId="6E7CAE6F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2"/>
            <w:tcBorders>
              <w:top w:val="single" w:sz="8" w:space="0" w:color="0070C0"/>
              <w:left w:val="nil"/>
              <w:bottom w:val="single" w:sz="8" w:space="0" w:color="0070C0"/>
              <w:right w:val="single" w:sz="4" w:space="0" w:color="0070C0"/>
            </w:tcBorders>
            <w:hideMark/>
          </w:tcPr>
          <w:p w14:paraId="403CD1EF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3"/>
            <w:tcBorders>
              <w:top w:val="single" w:sz="8" w:space="0" w:color="0070C0"/>
              <w:left w:val="nil"/>
              <w:bottom w:val="single" w:sz="8" w:space="0" w:color="0070C0"/>
              <w:right w:val="single" w:sz="4" w:space="0" w:color="0070C0"/>
            </w:tcBorders>
            <w:hideMark/>
          </w:tcPr>
          <w:p w14:paraId="784E902B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Fill-Rate %</w:t>
            </w: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(trailing 30 day avg)</w:t>
            </w:r>
          </w:p>
        </w:tc>
        <w:tc>
          <w:tcPr>
            <w:tcW w:w="2880" w:type="dxa"/>
            <w:gridSpan w:val="4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hideMark/>
          </w:tcPr>
          <w:p w14:paraId="78FDB35C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Fill-Rate %</w:t>
            </w: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(trailing 30 day avg)</w:t>
            </w:r>
          </w:p>
        </w:tc>
      </w:tr>
      <w:tr w:rsidR="00F91F7F" w:rsidRPr="00F91F7F" w14:paraId="6015FFA9" w14:textId="77777777" w:rsidTr="00243839">
        <w:trPr>
          <w:trHeight w:val="285"/>
        </w:trPr>
        <w:tc>
          <w:tcPr>
            <w:tcW w:w="1153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000000" w:fill="DAE9F8"/>
            <w:noWrap/>
            <w:hideMark/>
          </w:tcPr>
          <w:p w14:paraId="45876D76" w14:textId="77777777" w:rsidR="00F91F7F" w:rsidRPr="00F91F7F" w:rsidRDefault="00F91F7F" w:rsidP="00F91F7F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DOS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777F193C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61F81D0A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067EE76C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DOS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4D80C518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DOS</w:t>
            </w:r>
          </w:p>
        </w:tc>
      </w:tr>
      <w:tr w:rsidR="00F91F7F" w:rsidRPr="00F91F7F" w14:paraId="3DF1892E" w14:textId="77777777" w:rsidTr="00243839">
        <w:trPr>
          <w:trHeight w:val="285"/>
        </w:trPr>
        <w:tc>
          <w:tcPr>
            <w:tcW w:w="1153" w:type="dxa"/>
            <w:vMerge w:val="restart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noWrap/>
            <w:hideMark/>
          </w:tcPr>
          <w:p w14:paraId="46FDDD59" w14:textId="77777777" w:rsidR="00F91F7F" w:rsidRPr="00F91F7F" w:rsidRDefault="00F91F7F" w:rsidP="00F91F7F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NOP</w:t>
            </w:r>
          </w:p>
        </w:tc>
        <w:tc>
          <w:tcPr>
            <w:tcW w:w="2160" w:type="dxa"/>
            <w:gridSpan w:val="2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hideMark/>
          </w:tcPr>
          <w:p w14:paraId="142168D7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2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hideMark/>
          </w:tcPr>
          <w:p w14:paraId="60BFBAD9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3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hideMark/>
          </w:tcPr>
          <w:p w14:paraId="36700042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gridSpan w:val="4"/>
            <w:tcBorders>
              <w:top w:val="single" w:sz="8" w:space="0" w:color="0070C0"/>
              <w:left w:val="nil"/>
              <w:bottom w:val="nil"/>
              <w:right w:val="single" w:sz="8" w:space="0" w:color="0070C0"/>
            </w:tcBorders>
            <w:hideMark/>
          </w:tcPr>
          <w:p w14:paraId="01C6AD43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NOP by FC</w:t>
            </w:r>
          </w:p>
        </w:tc>
      </w:tr>
      <w:tr w:rsidR="00F91F7F" w:rsidRPr="00F91F7F" w14:paraId="6243DD3B" w14:textId="77777777" w:rsidTr="00243839">
        <w:trPr>
          <w:trHeight w:val="285"/>
        </w:trPr>
        <w:tc>
          <w:tcPr>
            <w:tcW w:w="1153" w:type="dxa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76287922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09BC12E1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0F2CE93B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48FC2558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single" w:sz="8" w:space="0" w:color="0070C0"/>
            </w:tcBorders>
            <w:hideMark/>
          </w:tcPr>
          <w:p w14:paraId="0C31818E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NOP by Region</w:t>
            </w:r>
          </w:p>
        </w:tc>
      </w:tr>
      <w:tr w:rsidR="00F91F7F" w:rsidRPr="00F91F7F" w14:paraId="10E7EC8B" w14:textId="77777777" w:rsidTr="00243839">
        <w:trPr>
          <w:trHeight w:val="285"/>
        </w:trPr>
        <w:tc>
          <w:tcPr>
            <w:tcW w:w="1153" w:type="dxa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608B068F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50878BE4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7B0E91E6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79003038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single" w:sz="8" w:space="0" w:color="0070C0"/>
            </w:tcBorders>
            <w:hideMark/>
          </w:tcPr>
          <w:p w14:paraId="1746C45D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NOP / OP Demand</w:t>
            </w:r>
          </w:p>
        </w:tc>
      </w:tr>
      <w:tr w:rsidR="00F91F7F" w:rsidRPr="00F91F7F" w14:paraId="7631A9A7" w14:textId="77777777" w:rsidTr="00243839">
        <w:trPr>
          <w:trHeight w:val="285"/>
        </w:trPr>
        <w:tc>
          <w:tcPr>
            <w:tcW w:w="1153" w:type="dxa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2C6A5249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8" w:space="0" w:color="0070C0"/>
              <w:right w:val="single" w:sz="4" w:space="0" w:color="0070C0"/>
            </w:tcBorders>
            <w:hideMark/>
          </w:tcPr>
          <w:p w14:paraId="05E3806E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8" w:space="0" w:color="0070C0"/>
              <w:right w:val="single" w:sz="4" w:space="0" w:color="0070C0"/>
            </w:tcBorders>
            <w:hideMark/>
          </w:tcPr>
          <w:p w14:paraId="03C2C180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8" w:space="0" w:color="0070C0"/>
              <w:right w:val="single" w:sz="4" w:space="0" w:color="0070C0"/>
            </w:tcBorders>
            <w:hideMark/>
          </w:tcPr>
          <w:p w14:paraId="6185EE31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hideMark/>
          </w:tcPr>
          <w:p w14:paraId="6A0FAB75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Total Demand</w:t>
            </w:r>
          </w:p>
        </w:tc>
      </w:tr>
      <w:tr w:rsidR="00F91F7F" w:rsidRPr="00F91F7F" w14:paraId="6C16DCCE" w14:textId="77777777" w:rsidTr="00243839">
        <w:trPr>
          <w:trHeight w:val="285"/>
        </w:trPr>
        <w:tc>
          <w:tcPr>
            <w:tcW w:w="1153" w:type="dxa"/>
            <w:vMerge w:val="restart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AE9F8"/>
            <w:hideMark/>
          </w:tcPr>
          <w:p w14:paraId="6A465910" w14:textId="77777777" w:rsidR="00F91F7F" w:rsidRPr="00F91F7F" w:rsidRDefault="00F91F7F" w:rsidP="00F91F7F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Catalog</w:t>
            </w: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Details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27D39C25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7C1A0F67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0ECDEC11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0CE5EF38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Published Y/N</w:t>
            </w:r>
          </w:p>
        </w:tc>
      </w:tr>
      <w:tr w:rsidR="00F91F7F" w:rsidRPr="00F91F7F" w14:paraId="4E6D113D" w14:textId="77777777" w:rsidTr="00243839">
        <w:trPr>
          <w:trHeight w:val="285"/>
        </w:trPr>
        <w:tc>
          <w:tcPr>
            <w:tcW w:w="1153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4421C425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5E6E9C47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546E2BA7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218D9A09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505B021E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Discontinued Y/N</w:t>
            </w:r>
          </w:p>
        </w:tc>
      </w:tr>
      <w:tr w:rsidR="00F91F7F" w:rsidRPr="00F91F7F" w14:paraId="2E4569C4" w14:textId="77777777" w:rsidTr="00243839">
        <w:trPr>
          <w:trHeight w:val="285"/>
        </w:trPr>
        <w:tc>
          <w:tcPr>
            <w:tcW w:w="1153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493B30EB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7ED08674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20C2FD3D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7379D29E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2391DFDA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MOQ</w:t>
            </w:r>
          </w:p>
        </w:tc>
      </w:tr>
      <w:tr w:rsidR="00F91F7F" w:rsidRPr="00F91F7F" w14:paraId="4B1262B9" w14:textId="77777777" w:rsidTr="00243839">
        <w:trPr>
          <w:trHeight w:val="285"/>
        </w:trPr>
        <w:tc>
          <w:tcPr>
            <w:tcW w:w="1153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37F74731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2472E51D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66CC59DB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48A01BF9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415DEB23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Base UOM, Purchase UOM</w:t>
            </w:r>
          </w:p>
        </w:tc>
      </w:tr>
      <w:tr w:rsidR="00F91F7F" w:rsidRPr="00F91F7F" w14:paraId="1E016A2D" w14:textId="77777777" w:rsidTr="00243839">
        <w:trPr>
          <w:trHeight w:val="285"/>
        </w:trPr>
        <w:tc>
          <w:tcPr>
            <w:tcW w:w="1153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1B623837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221343C4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581B6901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2E982B0C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1EB8437A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Eaches per Case/Layer/Pallet</w:t>
            </w:r>
          </w:p>
        </w:tc>
      </w:tr>
      <w:tr w:rsidR="00F91F7F" w:rsidRPr="00F91F7F" w14:paraId="42800E5C" w14:textId="77777777" w:rsidTr="00243839">
        <w:trPr>
          <w:trHeight w:val="285"/>
        </w:trPr>
        <w:tc>
          <w:tcPr>
            <w:tcW w:w="1153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3753056F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070438F0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4808F8D9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1B3F7660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6CACF6AC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Order divisibility by Pallet/Layer</w:t>
            </w:r>
          </w:p>
        </w:tc>
      </w:tr>
      <w:tr w:rsidR="00F91F7F" w:rsidRPr="00F91F7F" w14:paraId="19D43250" w14:textId="77777777" w:rsidTr="00243839">
        <w:trPr>
          <w:trHeight w:val="285"/>
        </w:trPr>
        <w:tc>
          <w:tcPr>
            <w:tcW w:w="1153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45B3AC39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8" w:space="0" w:color="0070C0"/>
              <w:right w:val="single" w:sz="4" w:space="0" w:color="0070C0"/>
            </w:tcBorders>
            <w:shd w:val="clear" w:color="000000" w:fill="DAE9F8"/>
            <w:hideMark/>
          </w:tcPr>
          <w:p w14:paraId="18E2E784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8" w:space="0" w:color="0070C0"/>
              <w:right w:val="single" w:sz="4" w:space="0" w:color="0070C0"/>
            </w:tcBorders>
            <w:shd w:val="clear" w:color="000000" w:fill="DAE9F8"/>
            <w:hideMark/>
          </w:tcPr>
          <w:p w14:paraId="53D88081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8" w:space="0" w:color="0070C0"/>
              <w:right w:val="single" w:sz="4" w:space="0" w:color="0070C0"/>
            </w:tcBorders>
            <w:shd w:val="clear" w:color="000000" w:fill="DAE9F8"/>
            <w:hideMark/>
          </w:tcPr>
          <w:p w14:paraId="33C6AEA1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000000" w:fill="DAE9F8"/>
            <w:hideMark/>
          </w:tcPr>
          <w:p w14:paraId="68262131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Temp Disable</w:t>
            </w:r>
          </w:p>
        </w:tc>
      </w:tr>
      <w:tr w:rsidR="00F91F7F" w:rsidRPr="00F91F7F" w14:paraId="18363E3D" w14:textId="77777777" w:rsidTr="00243839">
        <w:trPr>
          <w:trHeight w:val="199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9AF4E9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B28448" w14:textId="77777777" w:rsidR="00F91F7F" w:rsidRPr="00F91F7F" w:rsidRDefault="00F91F7F" w:rsidP="00F91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899EE3" w14:textId="77777777" w:rsidR="00F91F7F" w:rsidRPr="00F91F7F" w:rsidRDefault="00F91F7F" w:rsidP="00F91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A15769" w14:textId="77777777" w:rsidR="00F91F7F" w:rsidRPr="00F91F7F" w:rsidRDefault="00F91F7F" w:rsidP="00F91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A33508" w14:textId="77777777" w:rsidR="00F91F7F" w:rsidRPr="00F91F7F" w:rsidRDefault="00F91F7F" w:rsidP="00F91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1F7F" w:rsidRPr="00F91F7F" w14:paraId="43114C84" w14:textId="77777777" w:rsidTr="00F9531E">
        <w:trPr>
          <w:trHeight w:val="547"/>
        </w:trPr>
        <w:tc>
          <w:tcPr>
            <w:tcW w:w="115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hideMark/>
          </w:tcPr>
          <w:p w14:paraId="73FE64D3" w14:textId="77777777" w:rsidR="00F91F7F" w:rsidRPr="00F91F7F" w:rsidRDefault="00F91F7F" w:rsidP="00F91F7F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Vendors</w:t>
            </w: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Per Tier *</w:t>
            </w:r>
          </w:p>
        </w:tc>
        <w:tc>
          <w:tcPr>
            <w:tcW w:w="2160" w:type="dxa"/>
            <w:gridSpan w:val="2"/>
            <w:tcBorders>
              <w:top w:val="single" w:sz="8" w:space="0" w:color="0070C0"/>
              <w:left w:val="nil"/>
              <w:bottom w:val="single" w:sz="8" w:space="0" w:color="0070C0"/>
              <w:right w:val="single" w:sz="4" w:space="0" w:color="0070C0"/>
            </w:tcBorders>
            <w:noWrap/>
            <w:vAlign w:val="center"/>
            <w:hideMark/>
          </w:tcPr>
          <w:p w14:paraId="016EFB7A" w14:textId="77777777" w:rsidR="00F91F7F" w:rsidRPr="00F91F7F" w:rsidRDefault="00F91F7F" w:rsidP="00F91F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1255</w:t>
            </w:r>
          </w:p>
        </w:tc>
        <w:tc>
          <w:tcPr>
            <w:tcW w:w="2160" w:type="dxa"/>
            <w:gridSpan w:val="2"/>
            <w:tcBorders>
              <w:top w:val="single" w:sz="8" w:space="0" w:color="0070C0"/>
              <w:left w:val="nil"/>
              <w:bottom w:val="single" w:sz="8" w:space="0" w:color="0070C0"/>
              <w:right w:val="single" w:sz="4" w:space="0" w:color="0070C0"/>
            </w:tcBorders>
            <w:noWrap/>
            <w:vAlign w:val="center"/>
            <w:hideMark/>
          </w:tcPr>
          <w:p w14:paraId="19B21E83" w14:textId="77777777" w:rsidR="00F91F7F" w:rsidRPr="00F91F7F" w:rsidRDefault="00F91F7F" w:rsidP="00F91F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955</w:t>
            </w:r>
          </w:p>
        </w:tc>
        <w:tc>
          <w:tcPr>
            <w:tcW w:w="2160" w:type="dxa"/>
            <w:gridSpan w:val="3"/>
            <w:tcBorders>
              <w:top w:val="single" w:sz="8" w:space="0" w:color="0070C0"/>
              <w:left w:val="nil"/>
              <w:bottom w:val="single" w:sz="8" w:space="0" w:color="0070C0"/>
              <w:right w:val="single" w:sz="4" w:space="0" w:color="0070C0"/>
            </w:tcBorders>
            <w:noWrap/>
            <w:vAlign w:val="center"/>
            <w:hideMark/>
          </w:tcPr>
          <w:p w14:paraId="61493AFD" w14:textId="77777777" w:rsidR="00F91F7F" w:rsidRPr="00F91F7F" w:rsidRDefault="00F91F7F" w:rsidP="00F91F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54</w:t>
            </w:r>
          </w:p>
        </w:tc>
        <w:tc>
          <w:tcPr>
            <w:tcW w:w="2880" w:type="dxa"/>
            <w:gridSpan w:val="4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noWrap/>
            <w:vAlign w:val="center"/>
            <w:hideMark/>
          </w:tcPr>
          <w:p w14:paraId="5168F87A" w14:textId="77777777" w:rsidR="00F91F7F" w:rsidRPr="00F91F7F" w:rsidRDefault="00F91F7F" w:rsidP="00F91F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F91F7F" w:rsidRPr="00F91F7F" w14:paraId="543255FB" w14:textId="77777777" w:rsidTr="00243839">
        <w:trPr>
          <w:gridAfter w:val="2"/>
          <w:wAfter w:w="2414" w:type="dxa"/>
          <w:trHeight w:val="259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B148E3" w14:textId="77777777" w:rsidR="00F91F7F" w:rsidRPr="00F91F7F" w:rsidRDefault="00F91F7F" w:rsidP="00F91F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45D346" w14:textId="77777777" w:rsidR="00F91F7F" w:rsidRPr="00F91F7F" w:rsidRDefault="00F91F7F" w:rsidP="00F91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C72815" w14:textId="77777777" w:rsidR="00F91F7F" w:rsidRPr="00F91F7F" w:rsidRDefault="00F91F7F" w:rsidP="00F91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5966A6" w14:textId="77777777" w:rsidR="00F91F7F" w:rsidRPr="00F91F7F" w:rsidRDefault="00F91F7F" w:rsidP="00F91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0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C3D0E9" w14:textId="77777777" w:rsidR="00F91F7F" w:rsidRPr="00F91F7F" w:rsidRDefault="00F91F7F" w:rsidP="00F91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1F7F" w:rsidRPr="00F91F7F" w14:paraId="2BBCB40C" w14:textId="77777777" w:rsidTr="00243839">
        <w:trPr>
          <w:gridAfter w:val="1"/>
          <w:wAfter w:w="1480" w:type="dxa"/>
          <w:trHeight w:val="259"/>
        </w:trPr>
        <w:tc>
          <w:tcPr>
            <w:tcW w:w="9033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196822" w14:textId="77777777" w:rsidR="00F91F7F" w:rsidRPr="00F91F7F" w:rsidRDefault="00F91F7F" w:rsidP="00F91F7F">
            <w:pPr>
              <w:spacing w:after="0" w:line="240" w:lineRule="auto"/>
              <w:ind w:firstLineChars="200" w:firstLine="360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* Includes FC + Drop-ship vendors; Tiers 1 - 4 are sent by unique vendor number… does not consider parent company</w:t>
            </w:r>
          </w:p>
        </w:tc>
      </w:tr>
      <w:tr w:rsidR="00F91F7F" w:rsidRPr="00F91F7F" w14:paraId="564475EE" w14:textId="77777777" w:rsidTr="00243839">
        <w:trPr>
          <w:gridAfter w:val="3"/>
          <w:wAfter w:w="2664" w:type="dxa"/>
          <w:trHeight w:val="259"/>
        </w:trPr>
        <w:tc>
          <w:tcPr>
            <w:tcW w:w="761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540615" w14:textId="77777777" w:rsidR="00F91F7F" w:rsidRPr="00F91F7F" w:rsidRDefault="00F91F7F" w:rsidP="00F91F7F">
            <w:pPr>
              <w:spacing w:after="0" w:line="240" w:lineRule="auto"/>
              <w:ind w:firstLineChars="200" w:firstLine="360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** CPFR enrolls approximately 70% of overall vendor population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79FF51" w14:textId="77777777" w:rsidR="00F91F7F" w:rsidRPr="00F91F7F" w:rsidRDefault="00F91F7F" w:rsidP="00F91F7F">
            <w:pPr>
              <w:spacing w:after="0" w:line="240" w:lineRule="auto"/>
              <w:ind w:firstLineChars="200" w:firstLine="360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1B6778EE" w14:textId="77777777" w:rsidR="00F91F7F" w:rsidRPr="00CB4D8D" w:rsidRDefault="00F91F7F" w:rsidP="00A073CC">
      <w:pPr>
        <w:spacing w:before="120" w:after="120" w:line="264" w:lineRule="auto"/>
        <w:rPr>
          <w:rFonts w:ascii="Aptos Narrow" w:hAnsi="Aptos Narrow"/>
          <w:sz w:val="22"/>
          <w:szCs w:val="22"/>
        </w:rPr>
      </w:pPr>
    </w:p>
    <w:sectPr w:rsidR="00F91F7F" w:rsidRPr="00CB4D8D" w:rsidSect="00A92200">
      <w:headerReference w:type="default" r:id="rId8"/>
      <w:footerReference w:type="default" r:id="rId9"/>
      <w:pgSz w:w="12240" w:h="15840"/>
      <w:pgMar w:top="720" w:right="720" w:bottom="720" w:left="72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D3F0F" w14:textId="77777777" w:rsidR="00100AFF" w:rsidRDefault="00100AFF" w:rsidP="00100AFF">
      <w:pPr>
        <w:spacing w:after="0" w:line="240" w:lineRule="auto"/>
      </w:pPr>
      <w:r>
        <w:separator/>
      </w:r>
    </w:p>
  </w:endnote>
  <w:endnote w:type="continuationSeparator" w:id="0">
    <w:p w14:paraId="62A17A97" w14:textId="77777777" w:rsidR="00100AFF" w:rsidRDefault="00100AFF" w:rsidP="00100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9AD38902-F86B-49F5-940E-D28692AD1B70}"/>
    <w:embedBold r:id="rId2" w:fontKey="{6AA2DFC1-9344-4FFE-BF51-C621DC298266}"/>
    <w:embedItalic r:id="rId3" w:fontKey="{67DF934C-EB50-4788-AA1E-232171440BB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8E0CC34C-6D88-4A16-9AE0-26B975D1143E}"/>
  </w:font>
  <w:font w:name="Aptos Narrow">
    <w:charset w:val="00"/>
    <w:family w:val="swiss"/>
    <w:pitch w:val="variable"/>
    <w:sig w:usb0="20000287" w:usb1="00000003" w:usb2="00000000" w:usb3="00000000" w:csb0="0000019F" w:csb1="00000000"/>
    <w:embedRegular r:id="rId5" w:fontKey="{3DB40755-DD54-4E26-89FF-2640B17965F9}"/>
    <w:embedBold r:id="rId6" w:fontKey="{2322E43A-F51F-4C12-BE66-D89457018C66}"/>
    <w:embedItalic r:id="rId7" w:fontKey="{A30B7E3D-9288-40B6-B59B-215B78C8C96F}"/>
    <w:embedBoldItalic r:id="rId8" w:fontKey="{0C35D71C-4D83-4C9D-8178-AE53AA53E11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E29B3" w14:textId="04FE3284" w:rsidR="00100AFF" w:rsidRDefault="009F7627" w:rsidP="009F7627">
    <w:pPr>
      <w:pStyle w:val="Footer"/>
      <w:tabs>
        <w:tab w:val="clear" w:pos="4680"/>
        <w:tab w:val="clear" w:pos="9360"/>
        <w:tab w:val="center" w:pos="5400"/>
        <w:tab w:val="right" w:pos="10800"/>
      </w:tabs>
    </w:pPr>
    <w:r w:rsidRPr="00DB7653">
      <w:rPr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13782E10" wp14:editId="5208F07F">
          <wp:simplePos x="0" y="0"/>
          <wp:positionH relativeFrom="margin">
            <wp:align>center</wp:align>
          </wp:positionH>
          <wp:positionV relativeFrom="paragraph">
            <wp:posOffset>13599</wp:posOffset>
          </wp:positionV>
          <wp:extent cx="873760" cy="274320"/>
          <wp:effectExtent l="0" t="0" r="2540" b="0"/>
          <wp:wrapNone/>
          <wp:docPr id="21678890" name="Picture 1" descr="A blue text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678890" name="Picture 1" descr="A blue text on a black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760" cy="274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B7653">
      <w:rPr>
        <w:sz w:val="20"/>
        <w:szCs w:val="20"/>
      </w:rPr>
      <w:t>CPFR</w:t>
    </w:r>
    <w:r w:rsidR="00344718">
      <w:rPr>
        <w:sz w:val="20"/>
        <w:szCs w:val="20"/>
      </w:rPr>
      <w:t xml:space="preserve"> </w:t>
    </w:r>
    <w:r w:rsidR="00CB4D8D">
      <w:rPr>
        <w:sz w:val="20"/>
        <w:szCs w:val="20"/>
      </w:rPr>
      <w:t>v VDS Tenants &amp; Shares</w:t>
    </w:r>
    <w:r w:rsidRPr="00DB7653">
      <w:rPr>
        <w:sz w:val="20"/>
        <w:szCs w:val="20"/>
      </w:rPr>
      <w:tab/>
    </w:r>
    <w:r w:rsidR="00DB7653">
      <w:rPr>
        <w:sz w:val="20"/>
        <w:szCs w:val="20"/>
      </w:rPr>
      <w:tab/>
    </w:r>
    <w:r w:rsidRPr="00DB7653">
      <w:rPr>
        <w:sz w:val="20"/>
        <w:szCs w:val="20"/>
      </w:rPr>
      <w:t>2025-0</w:t>
    </w:r>
    <w:r w:rsidR="00CB4D8D">
      <w:rPr>
        <w:sz w:val="20"/>
        <w:szCs w:val="20"/>
      </w:rPr>
      <w:t>8</w:t>
    </w:r>
    <w:r w:rsidRPr="00DB7653">
      <w:rPr>
        <w:sz w:val="20"/>
        <w:szCs w:val="20"/>
      </w:rPr>
      <w:t>-</w:t>
    </w:r>
    <w:r w:rsidR="00CB4D8D">
      <w:rPr>
        <w:sz w:val="20"/>
        <w:szCs w:val="20"/>
      </w:rPr>
      <w:t>14</w:t>
    </w:r>
    <w:r w:rsidR="00344718">
      <w:rPr>
        <w:sz w:val="20"/>
        <w:szCs w:val="20"/>
      </w:rPr>
      <w:t>,</w:t>
    </w:r>
    <w:r w:rsidRPr="00DB7653">
      <w:rPr>
        <w:sz w:val="20"/>
        <w:szCs w:val="20"/>
      </w:rPr>
      <w:t xml:space="preserve"> nmiles1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DA7E0" w14:textId="77777777" w:rsidR="00100AFF" w:rsidRDefault="00100AFF" w:rsidP="00100AFF">
      <w:pPr>
        <w:spacing w:after="0" w:line="240" w:lineRule="auto"/>
      </w:pPr>
      <w:r>
        <w:separator/>
      </w:r>
    </w:p>
  </w:footnote>
  <w:footnote w:type="continuationSeparator" w:id="0">
    <w:p w14:paraId="20D7CE4A" w14:textId="77777777" w:rsidR="00100AFF" w:rsidRDefault="00100AFF" w:rsidP="00100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2A248" w14:textId="77F9BE5B" w:rsidR="00CB4D8D" w:rsidRPr="007C331F" w:rsidRDefault="00946454" w:rsidP="00F9531E">
    <w:pPr>
      <w:pBdr>
        <w:bottom w:val="single" w:sz="4" w:space="1" w:color="auto"/>
      </w:pBdr>
      <w:spacing w:after="0" w:line="264" w:lineRule="auto"/>
      <w:rPr>
        <w:b/>
        <w:bCs/>
        <w:sz w:val="32"/>
        <w:szCs w:val="32"/>
      </w:rPr>
    </w:pPr>
    <w:r>
      <w:rPr>
        <w:b/>
        <w:bCs/>
        <w:sz w:val="32"/>
        <w:szCs w:val="32"/>
      </w:rPr>
      <w:t>Comparison of Vendor-facing Collaborative Data-Shares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5DA"/>
    <w:multiLevelType w:val="hybridMultilevel"/>
    <w:tmpl w:val="D37E3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D254F"/>
    <w:multiLevelType w:val="hybridMultilevel"/>
    <w:tmpl w:val="05AE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13A31"/>
    <w:multiLevelType w:val="hybridMultilevel"/>
    <w:tmpl w:val="3346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62315"/>
    <w:multiLevelType w:val="hybridMultilevel"/>
    <w:tmpl w:val="197AC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D7077"/>
    <w:multiLevelType w:val="hybridMultilevel"/>
    <w:tmpl w:val="BA943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8457A"/>
    <w:multiLevelType w:val="hybridMultilevel"/>
    <w:tmpl w:val="43C6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9358B"/>
    <w:multiLevelType w:val="hybridMultilevel"/>
    <w:tmpl w:val="D37E3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77723"/>
    <w:multiLevelType w:val="hybridMultilevel"/>
    <w:tmpl w:val="7148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A09CB"/>
    <w:multiLevelType w:val="hybridMultilevel"/>
    <w:tmpl w:val="DFCE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23712"/>
    <w:multiLevelType w:val="hybridMultilevel"/>
    <w:tmpl w:val="77E065C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3B073FE0"/>
    <w:multiLevelType w:val="hybridMultilevel"/>
    <w:tmpl w:val="ECCE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C2E54"/>
    <w:multiLevelType w:val="hybridMultilevel"/>
    <w:tmpl w:val="01A8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D3C34"/>
    <w:multiLevelType w:val="hybridMultilevel"/>
    <w:tmpl w:val="88DA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D139A"/>
    <w:multiLevelType w:val="hybridMultilevel"/>
    <w:tmpl w:val="3DF8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67D72"/>
    <w:multiLevelType w:val="hybridMultilevel"/>
    <w:tmpl w:val="ACF0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4659E"/>
    <w:multiLevelType w:val="hybridMultilevel"/>
    <w:tmpl w:val="6FB0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56C37"/>
    <w:multiLevelType w:val="hybridMultilevel"/>
    <w:tmpl w:val="B5AC3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B6520"/>
    <w:multiLevelType w:val="hybridMultilevel"/>
    <w:tmpl w:val="6CE4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2287E"/>
    <w:multiLevelType w:val="hybridMultilevel"/>
    <w:tmpl w:val="D37E3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961F6"/>
    <w:multiLevelType w:val="hybridMultilevel"/>
    <w:tmpl w:val="E456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F1C53"/>
    <w:multiLevelType w:val="hybridMultilevel"/>
    <w:tmpl w:val="9BCA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E6452"/>
    <w:multiLevelType w:val="hybridMultilevel"/>
    <w:tmpl w:val="F7E2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73E76"/>
    <w:multiLevelType w:val="hybridMultilevel"/>
    <w:tmpl w:val="ED78C3F8"/>
    <w:lvl w:ilvl="0" w:tplc="AB8CA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A51B6"/>
    <w:multiLevelType w:val="hybridMultilevel"/>
    <w:tmpl w:val="D4A2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430D3"/>
    <w:multiLevelType w:val="hybridMultilevel"/>
    <w:tmpl w:val="808E5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644E3"/>
    <w:multiLevelType w:val="hybridMultilevel"/>
    <w:tmpl w:val="16BA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62E33"/>
    <w:multiLevelType w:val="hybridMultilevel"/>
    <w:tmpl w:val="4702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F2689"/>
    <w:multiLevelType w:val="hybridMultilevel"/>
    <w:tmpl w:val="0896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04AEC"/>
    <w:multiLevelType w:val="hybridMultilevel"/>
    <w:tmpl w:val="F4D6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516870">
    <w:abstractNumId w:val="4"/>
  </w:num>
  <w:num w:numId="2" w16cid:durableId="197741094">
    <w:abstractNumId w:val="21"/>
  </w:num>
  <w:num w:numId="3" w16cid:durableId="2088575640">
    <w:abstractNumId w:val="17"/>
  </w:num>
  <w:num w:numId="4" w16cid:durableId="2022007468">
    <w:abstractNumId w:val="8"/>
  </w:num>
  <w:num w:numId="5" w16cid:durableId="624702745">
    <w:abstractNumId w:val="12"/>
  </w:num>
  <w:num w:numId="6" w16cid:durableId="155540045">
    <w:abstractNumId w:val="1"/>
  </w:num>
  <w:num w:numId="7" w16cid:durableId="1540242818">
    <w:abstractNumId w:val="25"/>
  </w:num>
  <w:num w:numId="8" w16cid:durableId="620842645">
    <w:abstractNumId w:val="20"/>
  </w:num>
  <w:num w:numId="9" w16cid:durableId="1549956572">
    <w:abstractNumId w:val="13"/>
  </w:num>
  <w:num w:numId="10" w16cid:durableId="1349991987">
    <w:abstractNumId w:val="27"/>
  </w:num>
  <w:num w:numId="11" w16cid:durableId="273560685">
    <w:abstractNumId w:val="28"/>
  </w:num>
  <w:num w:numId="12" w16cid:durableId="1032342408">
    <w:abstractNumId w:val="26"/>
  </w:num>
  <w:num w:numId="13" w16cid:durableId="1693263376">
    <w:abstractNumId w:val="6"/>
  </w:num>
  <w:num w:numId="14" w16cid:durableId="810093138">
    <w:abstractNumId w:val="2"/>
  </w:num>
  <w:num w:numId="15" w16cid:durableId="1741098214">
    <w:abstractNumId w:val="24"/>
  </w:num>
  <w:num w:numId="16" w16cid:durableId="1229922938">
    <w:abstractNumId w:val="16"/>
  </w:num>
  <w:num w:numId="17" w16cid:durableId="690179108">
    <w:abstractNumId w:val="11"/>
  </w:num>
  <w:num w:numId="18" w16cid:durableId="1158424575">
    <w:abstractNumId w:val="3"/>
  </w:num>
  <w:num w:numId="19" w16cid:durableId="711922965">
    <w:abstractNumId w:val="18"/>
  </w:num>
  <w:num w:numId="20" w16cid:durableId="1312754189">
    <w:abstractNumId w:val="0"/>
  </w:num>
  <w:num w:numId="21" w16cid:durableId="301350309">
    <w:abstractNumId w:val="5"/>
  </w:num>
  <w:num w:numId="22" w16cid:durableId="1772627597">
    <w:abstractNumId w:val="10"/>
  </w:num>
  <w:num w:numId="23" w16cid:durableId="1264457684">
    <w:abstractNumId w:val="15"/>
  </w:num>
  <w:num w:numId="24" w16cid:durableId="618150030">
    <w:abstractNumId w:val="23"/>
  </w:num>
  <w:num w:numId="25" w16cid:durableId="1543710856">
    <w:abstractNumId w:val="9"/>
  </w:num>
  <w:num w:numId="26" w16cid:durableId="1441947413">
    <w:abstractNumId w:val="22"/>
  </w:num>
  <w:num w:numId="27" w16cid:durableId="663624436">
    <w:abstractNumId w:val="14"/>
  </w:num>
  <w:num w:numId="28" w16cid:durableId="1121268371">
    <w:abstractNumId w:val="19"/>
  </w:num>
  <w:num w:numId="29" w16cid:durableId="15567709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/>
  <w:defaultTabStop w:val="720"/>
  <w:characterSpacingControl w:val="doNotCompress"/>
  <w:savePreviewPicture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02"/>
    <w:rsid w:val="00010005"/>
    <w:rsid w:val="00031913"/>
    <w:rsid w:val="000652E8"/>
    <w:rsid w:val="00083901"/>
    <w:rsid w:val="00087C5D"/>
    <w:rsid w:val="000B3723"/>
    <w:rsid w:val="000B4463"/>
    <w:rsid w:val="00100AFF"/>
    <w:rsid w:val="00126C08"/>
    <w:rsid w:val="00137F1A"/>
    <w:rsid w:val="00141C20"/>
    <w:rsid w:val="00157602"/>
    <w:rsid w:val="00194CFE"/>
    <w:rsid w:val="001B19E3"/>
    <w:rsid w:val="00224B12"/>
    <w:rsid w:val="002328DB"/>
    <w:rsid w:val="00243839"/>
    <w:rsid w:val="00244DDE"/>
    <w:rsid w:val="00246843"/>
    <w:rsid w:val="00280332"/>
    <w:rsid w:val="00282AA9"/>
    <w:rsid w:val="00291BB9"/>
    <w:rsid w:val="0029388A"/>
    <w:rsid w:val="002D536A"/>
    <w:rsid w:val="00312EC4"/>
    <w:rsid w:val="00344718"/>
    <w:rsid w:val="003460A7"/>
    <w:rsid w:val="00385AE9"/>
    <w:rsid w:val="003F2D5A"/>
    <w:rsid w:val="00445CFF"/>
    <w:rsid w:val="00455B19"/>
    <w:rsid w:val="00461902"/>
    <w:rsid w:val="0047279C"/>
    <w:rsid w:val="004B339C"/>
    <w:rsid w:val="004B57A3"/>
    <w:rsid w:val="00521237"/>
    <w:rsid w:val="00562D61"/>
    <w:rsid w:val="005720B7"/>
    <w:rsid w:val="00582EEC"/>
    <w:rsid w:val="00586BF1"/>
    <w:rsid w:val="005B0CFD"/>
    <w:rsid w:val="005C70BB"/>
    <w:rsid w:val="00624458"/>
    <w:rsid w:val="00630EEB"/>
    <w:rsid w:val="007133A5"/>
    <w:rsid w:val="0076149B"/>
    <w:rsid w:val="007877AD"/>
    <w:rsid w:val="007A1892"/>
    <w:rsid w:val="007A7BD2"/>
    <w:rsid w:val="007C331F"/>
    <w:rsid w:val="0081610A"/>
    <w:rsid w:val="00887524"/>
    <w:rsid w:val="008E514D"/>
    <w:rsid w:val="00946454"/>
    <w:rsid w:val="0099175C"/>
    <w:rsid w:val="00997A71"/>
    <w:rsid w:val="009A4623"/>
    <w:rsid w:val="009B224A"/>
    <w:rsid w:val="009D78AF"/>
    <w:rsid w:val="009F0A8A"/>
    <w:rsid w:val="009F3E52"/>
    <w:rsid w:val="009F7627"/>
    <w:rsid w:val="00A073CC"/>
    <w:rsid w:val="00A92200"/>
    <w:rsid w:val="00AA3A39"/>
    <w:rsid w:val="00AB4695"/>
    <w:rsid w:val="00AC2404"/>
    <w:rsid w:val="00AF2BBE"/>
    <w:rsid w:val="00AF738A"/>
    <w:rsid w:val="00B149B5"/>
    <w:rsid w:val="00B3165B"/>
    <w:rsid w:val="00C55901"/>
    <w:rsid w:val="00C87236"/>
    <w:rsid w:val="00C94DBE"/>
    <w:rsid w:val="00CB4D8D"/>
    <w:rsid w:val="00CC27F2"/>
    <w:rsid w:val="00CD2E14"/>
    <w:rsid w:val="00CE4E1A"/>
    <w:rsid w:val="00D120D8"/>
    <w:rsid w:val="00D2571F"/>
    <w:rsid w:val="00D343FD"/>
    <w:rsid w:val="00D542F7"/>
    <w:rsid w:val="00DA3511"/>
    <w:rsid w:val="00DB7653"/>
    <w:rsid w:val="00DD7488"/>
    <w:rsid w:val="00DD74A1"/>
    <w:rsid w:val="00E86F36"/>
    <w:rsid w:val="00E9172B"/>
    <w:rsid w:val="00EA062E"/>
    <w:rsid w:val="00EA6146"/>
    <w:rsid w:val="00EB5E21"/>
    <w:rsid w:val="00ED0569"/>
    <w:rsid w:val="00F91F7F"/>
    <w:rsid w:val="00F9531E"/>
    <w:rsid w:val="00FB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90C12D1"/>
  <w15:chartTrackingRefBased/>
  <w15:docId w15:val="{50FFABE1-A4FC-4B33-8945-38485A1F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0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AFF"/>
  </w:style>
  <w:style w:type="paragraph" w:styleId="Footer">
    <w:name w:val="footer"/>
    <w:basedOn w:val="Normal"/>
    <w:link w:val="FooterChar"/>
    <w:uiPriority w:val="99"/>
    <w:unhideWhenUsed/>
    <w:rsid w:val="00100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FB48C-C91F-496F-B149-74427D1874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9879b8e-3b16-427d-902a-05eda342f629}" enabled="0" method="" siteId="{99879b8e-3b16-427d-902a-05eda342f62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Miles</dc:creator>
  <cp:keywords/>
  <dc:description/>
  <cp:lastModifiedBy>Nathan Miles</cp:lastModifiedBy>
  <cp:revision>9</cp:revision>
  <cp:lastPrinted>2025-08-14T20:22:00Z</cp:lastPrinted>
  <dcterms:created xsi:type="dcterms:W3CDTF">2025-08-14T19:16:00Z</dcterms:created>
  <dcterms:modified xsi:type="dcterms:W3CDTF">2025-08-14T23:49:00Z</dcterms:modified>
</cp:coreProperties>
</file>