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Y="2368"/>
        <w:tblW w:w="14480" w:type="dxa"/>
        <w:tblLook w:val="04A0" w:firstRow="1" w:lastRow="0" w:firstColumn="1" w:lastColumn="0" w:noHBand="0" w:noVBand="1"/>
      </w:tblPr>
      <w:tblGrid>
        <w:gridCol w:w="1637"/>
        <w:gridCol w:w="3033"/>
        <w:gridCol w:w="3510"/>
        <w:gridCol w:w="3330"/>
        <w:gridCol w:w="2970"/>
      </w:tblGrid>
      <w:tr w:rsidR="009138B6" w:rsidRPr="000E0F53" w14:paraId="3FCAF91D" w14:textId="77777777" w:rsidTr="00B11033">
        <w:trPr>
          <w:trHeight w:val="259"/>
        </w:trPr>
        <w:tc>
          <w:tcPr>
            <w:tcW w:w="1637" w:type="dxa"/>
            <w:tcBorders>
              <w:top w:val="single" w:sz="8" w:space="0" w:color="0070C0"/>
              <w:left w:val="single" w:sz="8" w:space="0" w:color="0070C0"/>
              <w:bottom w:val="nil"/>
              <w:right w:val="nil"/>
            </w:tcBorders>
            <w:shd w:val="clear" w:color="000000" w:fill="0070C0"/>
            <w:noWrap/>
            <w:hideMark/>
          </w:tcPr>
          <w:p w14:paraId="706BB219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33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6E9C6A1B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CPFR</w:t>
            </w:r>
          </w:p>
        </w:tc>
        <w:tc>
          <w:tcPr>
            <w:tcW w:w="351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019F85EC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VDS Premium</w:t>
            </w:r>
          </w:p>
        </w:tc>
        <w:tc>
          <w:tcPr>
            <w:tcW w:w="333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5FE168CD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VDS Direct</w:t>
            </w:r>
          </w:p>
        </w:tc>
        <w:tc>
          <w:tcPr>
            <w:tcW w:w="297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0070C0"/>
            <w:noWrap/>
            <w:hideMark/>
          </w:tcPr>
          <w:p w14:paraId="657E77E8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CPH</w:t>
            </w:r>
          </w:p>
        </w:tc>
      </w:tr>
      <w:tr w:rsidR="009138B6" w:rsidRPr="000E0F53" w14:paraId="03C8AE0C" w14:textId="77777777" w:rsidTr="00B11033">
        <w:trPr>
          <w:trHeight w:val="778"/>
        </w:trPr>
        <w:tc>
          <w:tcPr>
            <w:tcW w:w="1637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hideMark/>
          </w:tcPr>
          <w:p w14:paraId="68C3B4B6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Purpose</w:t>
            </w:r>
          </w:p>
        </w:tc>
        <w:tc>
          <w:tcPr>
            <w:tcW w:w="3033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36F88887" w14:textId="77777777" w:rsidR="000E0F53" w:rsidRPr="000E0F53" w:rsidRDefault="000E0F53" w:rsidP="00B11033">
            <w:pPr>
              <w:spacing w:after="0" w:line="240" w:lineRule="auto"/>
              <w:ind w:leftChars="56" w:left="134" w:firstLineChars="1" w:firstLine="2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Provides fundamental data used by vendors and ISMs for Inventory and order planning</w:t>
            </w:r>
          </w:p>
        </w:tc>
        <w:tc>
          <w:tcPr>
            <w:tcW w:w="351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779A77C9" w14:textId="643F5FAC" w:rsidR="000E0F53" w:rsidRPr="000E0F53" w:rsidRDefault="000E0F53" w:rsidP="00B11033">
            <w:pPr>
              <w:spacing w:after="0" w:line="240" w:lineRule="auto"/>
              <w:ind w:leftChars="56" w:left="134" w:firstLineChars="1" w:firstLine="2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Provide a broader set of data to facilitate insights and deep </w:t>
            </w:r>
            <w:r w:rsidR="009138B6"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analysis of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supply, operations, and performance</w:t>
            </w:r>
          </w:p>
        </w:tc>
        <w:tc>
          <w:tcPr>
            <w:tcW w:w="333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7BF24490" w14:textId="08CE1C12" w:rsidR="000E0F53" w:rsidRPr="000E0F53" w:rsidRDefault="000E0F53" w:rsidP="00B11033">
            <w:pPr>
              <w:spacing w:after="0" w:line="240" w:lineRule="auto"/>
              <w:ind w:leftChars="56" w:left="134" w:firstLineChars="1" w:firstLine="2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Provides highly granular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and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customizable data feeds 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that directly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integrate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with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vendor systems</w:t>
            </w:r>
          </w:p>
        </w:tc>
        <w:tc>
          <w:tcPr>
            <w:tcW w:w="2970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183D53E8" w14:textId="39A8CCCA" w:rsidR="000E0F53" w:rsidRPr="000E0F53" w:rsidRDefault="000E0F53" w:rsidP="00B11033">
            <w:pPr>
              <w:spacing w:after="0" w:line="240" w:lineRule="auto"/>
              <w:ind w:leftChars="56" w:left="134" w:firstLineChars="1" w:firstLine="2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Aggregates Services from across Chewy</w:t>
            </w:r>
            <w:r w:rsidR="009138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provid</w:t>
            </w:r>
            <w:r w:rsidR="009138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ing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 single point of </w:t>
            </w:r>
            <w:r w:rsidR="009138B6"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access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 vendors</w:t>
            </w:r>
          </w:p>
        </w:tc>
      </w:tr>
      <w:tr w:rsidR="009138B6" w:rsidRPr="000E0F53" w14:paraId="32BB48B4" w14:textId="77777777" w:rsidTr="00B11033">
        <w:trPr>
          <w:trHeight w:val="259"/>
        </w:trPr>
        <w:tc>
          <w:tcPr>
            <w:tcW w:w="163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44C9AFC4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Share Method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0868CEE5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Emailed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37D5CEC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Dashboard (Tableau Server)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2069985C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API access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0E06B786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Custom portal</w:t>
            </w:r>
          </w:p>
        </w:tc>
      </w:tr>
      <w:tr w:rsidR="009138B6" w:rsidRPr="000E0F53" w14:paraId="1E74A296" w14:textId="77777777" w:rsidTr="00B11033">
        <w:trPr>
          <w:trHeight w:val="259"/>
        </w:trPr>
        <w:tc>
          <w:tcPr>
            <w:tcW w:w="1637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hideMark/>
          </w:tcPr>
          <w:p w14:paraId="55E0DDA2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Level of Granularity</w:t>
            </w:r>
          </w:p>
        </w:tc>
        <w:tc>
          <w:tcPr>
            <w:tcW w:w="3033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noWrap/>
            <w:hideMark/>
          </w:tcPr>
          <w:p w14:paraId="2EA36B3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SKU/weekly</w:t>
            </w:r>
          </w:p>
        </w:tc>
        <w:tc>
          <w:tcPr>
            <w:tcW w:w="3510" w:type="dxa"/>
            <w:vMerge w:val="restart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4E53FA6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SKU/daily; SKU/weekly</w:t>
            </w:r>
          </w:p>
        </w:tc>
        <w:tc>
          <w:tcPr>
            <w:tcW w:w="3330" w:type="dxa"/>
            <w:tcBorders>
              <w:top w:val="single" w:sz="8" w:space="0" w:color="0070C0"/>
              <w:left w:val="nil"/>
              <w:bottom w:val="nil"/>
              <w:right w:val="nil"/>
            </w:tcBorders>
            <w:noWrap/>
            <w:hideMark/>
          </w:tcPr>
          <w:p w14:paraId="06B97BAA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SKU/daily; SKU/weekly</w:t>
            </w:r>
          </w:p>
        </w:tc>
        <w:tc>
          <w:tcPr>
            <w:tcW w:w="297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14C9D81E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TBD</w:t>
            </w:r>
          </w:p>
        </w:tc>
      </w:tr>
      <w:tr w:rsidR="009138B6" w:rsidRPr="000E0F53" w14:paraId="7663EBC2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B8E03FE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14:paraId="123C2D9F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vMerge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vAlign w:val="center"/>
            <w:hideMark/>
          </w:tcPr>
          <w:p w14:paraId="29AEFA77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38CB689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(depending on subscription)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6E776B7F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6440463D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72585ECB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Principle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339928C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Weekly 'snapshot' data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2B7E7FE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On-demand access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44BBAAA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On-demand access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5844D8DC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On-demand access</w:t>
            </w:r>
          </w:p>
        </w:tc>
      </w:tr>
      <w:tr w:rsidR="009138B6" w:rsidRPr="000E0F53" w14:paraId="4F886508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0D37598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Characteristics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B52FD1F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"Tactical" data-scope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59C54AE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"Strategic" data-scope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0D6718F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Weekly or daily refreshes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3DCF29EE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  Customizable views</w:t>
            </w:r>
          </w:p>
        </w:tc>
      </w:tr>
      <w:tr w:rsidR="009138B6" w:rsidRPr="000E0F53" w14:paraId="37A63102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3E98B37B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32A4BC8" w14:textId="45A00F82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="00A01745"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Principal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performance metrics</w:t>
            </w:r>
          </w:p>
        </w:tc>
        <w:tc>
          <w:tcPr>
            <w:tcW w:w="35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8A9DFD2" w14:textId="47EAF170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Weekly or </w:t>
            </w:r>
            <w:r w:rsidR="00A01745"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daily refreshed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depending on type and source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7FC3C8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"Exploratory" data-scope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2ABE61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    and data content</w:t>
            </w:r>
          </w:p>
        </w:tc>
      </w:tr>
      <w:tr w:rsidR="009138B6" w:rsidRPr="000E0F53" w14:paraId="46A66A91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7DB2E5DA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5328CB0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Tiered subsets of data</w:t>
            </w:r>
          </w:p>
        </w:tc>
        <w:tc>
          <w:tcPr>
            <w:tcW w:w="351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F0124CE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9EDD032" w14:textId="77777777" w:rsidR="000E0F53" w:rsidRPr="000E0F53" w:rsidRDefault="000E0F53" w:rsidP="00B11033">
            <w:pPr>
              <w:spacing w:after="0" w:line="240" w:lineRule="auto"/>
              <w:ind w:leftChars="38" w:left="241" w:hangingChars="68" w:hanging="15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2"/>
                <w:szCs w:val="22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Permits complex queries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358F471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2C164621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79531C82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4798D4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Fixed aggregation levels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462DC5EB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Limited ability to 'drill-down' into data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650E9C24" w14:textId="4E90060D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Direct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vendor system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integration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7C88EDC3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082604CB" w14:textId="77777777" w:rsidTr="00B11033">
        <w:trPr>
          <w:trHeight w:val="259"/>
        </w:trPr>
        <w:tc>
          <w:tcPr>
            <w:tcW w:w="1637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hideMark/>
          </w:tcPr>
          <w:p w14:paraId="121B9547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Data-Shared</w:t>
            </w:r>
          </w:p>
        </w:tc>
        <w:tc>
          <w:tcPr>
            <w:tcW w:w="3033" w:type="dxa"/>
            <w:tcBorders>
              <w:top w:val="single" w:sz="8" w:space="0" w:color="0070C0"/>
              <w:left w:val="nil"/>
              <w:bottom w:val="nil"/>
              <w:right w:val="nil"/>
            </w:tcBorders>
            <w:hideMark/>
          </w:tcPr>
          <w:p w14:paraId="473A714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Forecast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8196CC4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Autoship Analysis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26E7437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[Daily &amp; Weekly]:</w:t>
            </w:r>
          </w:p>
        </w:tc>
        <w:tc>
          <w:tcPr>
            <w:tcW w:w="297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126D5A1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E97132"/>
                <w:kern w:val="0"/>
                <w:sz w:val="20"/>
                <w:szCs w:val="20"/>
                <w14:ligatures w14:val="none"/>
              </w:rPr>
              <w:t>Same as CPFR</w:t>
            </w:r>
          </w:p>
        </w:tc>
      </w:tr>
      <w:tr w:rsidR="009138B6" w:rsidRPr="000E0F53" w14:paraId="0D2D88B9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5928A75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D6728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Autoship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F3D46C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Inventory &amp; Forecast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728FBF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Sales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2A580110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17C25B79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6E2E6BE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BAD014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Inventory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ECD6CE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Location Out of Stock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9D89BE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Autoship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35E11A7F" w14:textId="2AB0D913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CPH Provides a portal</w:t>
            </w:r>
            <w:r w:rsidR="002D4E32" w:rsidRPr="002D4E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—</w:t>
            </w:r>
          </w:p>
        </w:tc>
      </w:tr>
      <w:tr w:rsidR="009138B6" w:rsidRPr="000E0F53" w14:paraId="4F056B1B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63BE290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26F6B3B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OOS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77183C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PDP Out of Stock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94B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Receipt / Returns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67CD6E1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data pipelines or platform</w:t>
            </w:r>
          </w:p>
        </w:tc>
      </w:tr>
      <w:tr w:rsidR="009138B6" w:rsidRPr="000E0F53" w14:paraId="675DD368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DEAC33A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250486F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Fill Rate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CF7A549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Procurement Scorecard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38CCEF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Trial Rate / Review Avg.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7BEDA848" w14:textId="48DEFDEA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must be </w:t>
            </w:r>
            <w:r w:rsidR="002D4E32" w:rsidRPr="002D4E32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provid</w:t>
            </w: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 xml:space="preserve">ed by </w:t>
            </w:r>
          </w:p>
        </w:tc>
      </w:tr>
      <w:tr w:rsidR="009138B6" w:rsidRPr="000E0F53" w14:paraId="1C41D80B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584235C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94D4D74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DOS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A10420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Customer Experience Insights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28272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ASN &amp; Compliance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4873C46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Business Intelligence or</w:t>
            </w:r>
          </w:p>
        </w:tc>
      </w:tr>
      <w:tr w:rsidR="009138B6" w:rsidRPr="000E0F53" w14:paraId="7DA5CF1C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509DBD0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6428EC9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NOP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26C6ECA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Attachment Detail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4E316F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Inventory direct feed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26F41A6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Software Engineers (or both)</w:t>
            </w:r>
          </w:p>
        </w:tc>
      </w:tr>
      <w:tr w:rsidR="009138B6" w:rsidRPr="000E0F53" w14:paraId="461A85C6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5D076260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F55EACB" w14:textId="51C52BE5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14"/>
                <w:szCs w:val="14"/>
                <w14:ligatures w14:val="none"/>
              </w:rPr>
              <w:t xml:space="preserve">   </w:t>
            </w:r>
            <w:r w:rsidR="009138B6" w:rsidRPr="009138B6">
              <w:rPr>
                <w:rFonts w:ascii="Aptos Narrow" w:eastAsia="Times New Roman" w:hAnsi="Aptos Narrow" w:cs="Times New Roman"/>
                <w:color w:val="E97132" w:themeColor="accent2"/>
                <w:kern w:val="0"/>
                <w:sz w:val="20"/>
                <w:szCs w:val="20"/>
                <w14:ligatures w14:val="none"/>
              </w:rPr>
              <w:t>Catalog Details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E1D597F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Basket Overview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6FF1867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Forecast direct feed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63581B41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583C0692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028ACBC2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B78840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F2D0A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Competitive Comparison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63A5EA5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784DB595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138B6" w:rsidRPr="000E0F53" w14:paraId="4603D4EE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1D4E92E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0250E5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E97132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i/>
                <w:iCs/>
                <w:color w:val="E97132"/>
                <w:kern w:val="0"/>
                <w:sz w:val="20"/>
                <w:szCs w:val="20"/>
                <w:bdr w:val="none" w:sz="0" w:space="0" w:color="auto" w:frame="1"/>
                <w14:ligatures w14:val="none"/>
              </w:rPr>
              <w:t>CPFR Knowledge Domain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E62A1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Returns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E9D0CF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17FC52DE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138B6" w:rsidRPr="000E0F53" w14:paraId="17E36424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C0C96D7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A036A8F" w14:textId="77777777" w:rsidR="000E0F53" w:rsidRPr="000E0F53" w:rsidRDefault="000E0F53" w:rsidP="00B11033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b/>
                <w:bCs/>
                <w:i/>
                <w:iCs/>
                <w:color w:val="0070C0"/>
                <w:kern w:val="0"/>
                <w:sz w:val="20"/>
                <w:szCs w:val="20"/>
                <w14:ligatures w14:val="none"/>
              </w:rPr>
              <w:t>VDS Knowledge Domain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01BA91E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Sales &amp; Geographical Metrics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033D471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7F69C625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138B6" w:rsidRPr="000E0F53" w14:paraId="06558D09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098585BC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626829CD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511899A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70C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70C0"/>
                <w:kern w:val="0"/>
                <w:sz w:val="20"/>
                <w:szCs w:val="20"/>
                <w14:ligatures w14:val="none"/>
              </w:rPr>
              <w:t>Trial &amp; Repeat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37CA8E81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70C9BC9B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138B6" w:rsidRPr="000E0F53" w14:paraId="72606E49" w14:textId="77777777" w:rsidTr="00B11033">
        <w:trPr>
          <w:trHeight w:val="259"/>
        </w:trPr>
        <w:tc>
          <w:tcPr>
            <w:tcW w:w="163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1B10362A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Revenue Model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57FA9CF5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None (Free)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44644995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3% of COGS, $400K max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noWrap/>
            <w:hideMark/>
          </w:tcPr>
          <w:p w14:paraId="5667A627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+ $100K (weekly); +$250K (daily)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615E1BE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TBD (Presumably None/Free)</w:t>
            </w:r>
          </w:p>
        </w:tc>
      </w:tr>
      <w:tr w:rsidR="009138B6" w:rsidRPr="000E0F53" w14:paraId="485B3A89" w14:textId="77777777" w:rsidTr="00B11033">
        <w:trPr>
          <w:trHeight w:val="259"/>
        </w:trPr>
        <w:tc>
          <w:tcPr>
            <w:tcW w:w="1637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hideMark/>
          </w:tcPr>
          <w:p w14:paraId="7873E7C5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Users Served</w:t>
            </w:r>
          </w:p>
        </w:tc>
        <w:tc>
          <w:tcPr>
            <w:tcW w:w="3033" w:type="dxa"/>
            <w:tcBorders>
              <w:top w:val="single" w:sz="8" w:space="0" w:color="0070C0"/>
              <w:left w:val="nil"/>
              <w:bottom w:val="nil"/>
              <w:right w:val="nil"/>
            </w:tcBorders>
            <w:hideMark/>
          </w:tcPr>
          <w:p w14:paraId="118F5725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≈1,650 FC-inventory vendors</w:t>
            </w:r>
          </w:p>
        </w:tc>
        <w:tc>
          <w:tcPr>
            <w:tcW w:w="3510" w:type="dxa"/>
            <w:tcBorders>
              <w:top w:val="single" w:sz="8" w:space="0" w:color="0070C0"/>
              <w:left w:val="nil"/>
              <w:bottom w:val="nil"/>
              <w:right w:val="nil"/>
            </w:tcBorders>
            <w:hideMark/>
          </w:tcPr>
          <w:p w14:paraId="430EF38B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65 unique vendors</w:t>
            </w:r>
          </w:p>
        </w:tc>
        <w:tc>
          <w:tcPr>
            <w:tcW w:w="3330" w:type="dxa"/>
            <w:tcBorders>
              <w:top w:val="single" w:sz="8" w:space="0" w:color="0070C0"/>
              <w:left w:val="nil"/>
              <w:bottom w:val="nil"/>
              <w:right w:val="nil"/>
            </w:tcBorders>
            <w:hideMark/>
          </w:tcPr>
          <w:p w14:paraId="2FA1F1D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 unique vendors</w:t>
            </w:r>
          </w:p>
        </w:tc>
        <w:tc>
          <w:tcPr>
            <w:tcW w:w="2970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72C69BF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  ≈1,650 FC-inventory vendors</w:t>
            </w:r>
          </w:p>
        </w:tc>
      </w:tr>
      <w:tr w:rsidR="009138B6" w:rsidRPr="000E0F53" w14:paraId="5D23953B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6EE17CE6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5B81694E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≈625 Drop-ship vendors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0EB1C8F4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Includes Top 20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5576F68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All within Top 10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4FDC9A9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  ≈625 Drop-ship vendors</w:t>
            </w:r>
          </w:p>
        </w:tc>
      </w:tr>
      <w:tr w:rsidR="009138B6" w:rsidRPr="000E0F53" w14:paraId="77ED5930" w14:textId="77777777" w:rsidTr="00B11033">
        <w:trPr>
          <w:trHeight w:val="259"/>
        </w:trPr>
        <w:tc>
          <w:tcPr>
            <w:tcW w:w="1637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3920D45F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Use-Cases</w:t>
            </w: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B80157B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"Plan-of-record" forecasting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BC4E8C6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Root-cause analysis (vendor)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C22CCA6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Complex/granular analysis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E11B22E" w14:textId="33461758" w:rsidR="000E0F53" w:rsidRPr="000E0F53" w:rsidRDefault="009138B6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="000E0F53"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Same as CPFR</w:t>
            </w:r>
          </w:p>
        </w:tc>
      </w:tr>
      <w:tr w:rsidR="009138B6" w:rsidRPr="000E0F53" w14:paraId="6B38C5B8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67837567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93BF112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Joint business planning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B9C14A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Sales auditing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DD1580F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POS 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32C07ED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31884F5E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C060DA4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0F4638B4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Vendor scorecard reference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3FA0911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EDI issue confirmation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A3A8313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Direct database integration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31C36F0F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</w:tr>
      <w:tr w:rsidR="009138B6" w:rsidRPr="000E0F53" w14:paraId="7F49FFD9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55599679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68EE8B2D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Tracking inventory health</w:t>
            </w:r>
          </w:p>
        </w:tc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225E3AC8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Consumer purchase behavior</w:t>
            </w:r>
          </w:p>
        </w:tc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401C0AF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249ABA1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9138B6" w:rsidRPr="000E0F53" w14:paraId="7CFA3BAB" w14:textId="77777777" w:rsidTr="00B11033">
        <w:trPr>
          <w:trHeight w:val="259"/>
        </w:trPr>
        <w:tc>
          <w:tcPr>
            <w:tcW w:w="1637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54E92928" w14:textId="77777777" w:rsidR="000E0F53" w:rsidRPr="000E0F53" w:rsidRDefault="000E0F53" w:rsidP="00B11033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33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0FDCD128" w14:textId="48767F3D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="009138B6" w:rsidRPr="009138B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ver/under performance alerts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2550950B" w14:textId="77777777" w:rsidR="000E0F53" w:rsidRPr="000E0F53" w:rsidRDefault="000E0F53" w:rsidP="00B11033">
            <w:pPr>
              <w:spacing w:after="0" w:line="240" w:lineRule="auto"/>
              <w:ind w:leftChars="38" w:left="227" w:hangingChars="68" w:hanging="136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Symbol" w:eastAsia="Times New Roman" w:hAnsi="Symbol" w:cs="Times New Roman"/>
                <w:color w:val="000000"/>
                <w:kern w:val="0"/>
                <w:sz w:val="20"/>
                <w:szCs w:val="20"/>
                <w14:ligatures w14:val="none"/>
              </w:rPr>
              <w:t>·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14"/>
                <w:szCs w:val="14"/>
                <w14:ligatures w14:val="none"/>
              </w:rPr>
              <w:t xml:space="preserve">   </w:t>
            </w: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Competitor analysis</w:t>
            </w:r>
          </w:p>
        </w:tc>
        <w:tc>
          <w:tcPr>
            <w:tcW w:w="333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1F72929A" w14:textId="77777777" w:rsidR="000E0F53" w:rsidRPr="000E0F53" w:rsidRDefault="000E0F53" w:rsidP="00B11033">
            <w:pPr>
              <w:spacing w:after="0" w:line="240" w:lineRule="auto"/>
              <w:ind w:firstLineChars="100" w:firstLine="200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096EDBFD" w14:textId="77777777" w:rsidR="000E0F53" w:rsidRPr="000E0F53" w:rsidRDefault="000E0F53" w:rsidP="00B11033">
            <w:pPr>
              <w:spacing w:after="0" w:line="240" w:lineRule="auto"/>
              <w:ind w:firstLineChars="100" w:firstLine="220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0E0F53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34DFA11B" w14:textId="77777777" w:rsidR="00B11033" w:rsidRPr="000E6806" w:rsidRDefault="00B11033" w:rsidP="00B11033">
      <w:pPr>
        <w:spacing w:after="0" w:line="264" w:lineRule="auto"/>
        <w:rPr>
          <w:sz w:val="12"/>
          <w:szCs w:val="12"/>
        </w:rPr>
      </w:pPr>
    </w:p>
    <w:p w14:paraId="34574CC6" w14:textId="041B5484" w:rsidR="00B11033" w:rsidRDefault="00B11033" w:rsidP="00B11033">
      <w:pPr>
        <w:spacing w:after="0" w:line="264" w:lineRule="auto"/>
        <w:rPr>
          <w:sz w:val="20"/>
          <w:szCs w:val="20"/>
        </w:rPr>
      </w:pPr>
      <w:r w:rsidRPr="00F9531E">
        <w:rPr>
          <w:sz w:val="20"/>
          <w:szCs w:val="20"/>
        </w:rPr>
        <w:t xml:space="preserve">Chewy's vendor-facing data-shares currently operate through two primary channels: CPFR and VDS. CPFR serves as the foundational data-sharing platform, reaching approximately 70% of Chewy's vendor population through weekly emailed reports containing tactical inventory and </w:t>
      </w:r>
      <w:r w:rsidRPr="00F9531E">
        <w:rPr>
          <w:sz w:val="20"/>
          <w:szCs w:val="20"/>
        </w:rPr>
        <w:t>forecast</w:t>
      </w:r>
      <w:r w:rsidRPr="00F9531E">
        <w:rPr>
          <w:sz w:val="20"/>
          <w:szCs w:val="20"/>
        </w:rPr>
        <w:t xml:space="preserve"> data. In contrast, VDS operates as a premium, revenue-generating service offering strategic insights to a select group of vendors through dashboard and API access.</w:t>
      </w:r>
      <w:r w:rsidR="000E6806">
        <w:rPr>
          <w:sz w:val="20"/>
          <w:szCs w:val="20"/>
        </w:rPr>
        <w:t xml:space="preserve"> As a new candidate system for data shares, CPH can host vendor access if data pipelines or platforms have already been established.</w:t>
      </w:r>
    </w:p>
    <w:p w14:paraId="32F8D12E" w14:textId="77777777" w:rsidR="00506730" w:rsidRDefault="00506730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022BBFF0" w14:textId="77777777" w:rsidR="00506730" w:rsidRPr="00506730" w:rsidRDefault="00506730" w:rsidP="000E6806">
      <w:pPr>
        <w:spacing w:after="0" w:line="264" w:lineRule="auto"/>
        <w:rPr>
          <w:sz w:val="12"/>
          <w:szCs w:val="12"/>
        </w:rPr>
      </w:pPr>
    </w:p>
    <w:p w14:paraId="37BF352C" w14:textId="7279732E" w:rsidR="00506730" w:rsidRPr="00452DD1" w:rsidRDefault="00452DD1" w:rsidP="00506730">
      <w:pPr>
        <w:spacing w:before="120" w:after="0" w:line="264" w:lineRule="auto"/>
        <w:rPr>
          <w:rFonts w:ascii="Aptos" w:hAnsi="Aptos"/>
          <w:b/>
          <w:bCs/>
        </w:rPr>
      </w:pPr>
      <w:r w:rsidRPr="00452DD1">
        <w:rPr>
          <w:rFonts w:ascii="Aptos" w:hAnsi="Aptos"/>
          <w:b/>
          <w:bCs/>
        </w:rPr>
        <w:t xml:space="preserve">APPENDIX 1: </w:t>
      </w:r>
      <w:r w:rsidR="00506730" w:rsidRPr="00452DD1">
        <w:rPr>
          <w:rFonts w:ascii="Aptos" w:hAnsi="Aptos"/>
          <w:b/>
          <w:bCs/>
        </w:rPr>
        <w:t>CPH Implementation</w:t>
      </w:r>
    </w:p>
    <w:p w14:paraId="4DC2C025" w14:textId="77777777" w:rsidR="00506730" w:rsidRDefault="00506730" w:rsidP="000E6806">
      <w:pPr>
        <w:spacing w:after="0" w:line="264" w:lineRule="auto"/>
        <w:rPr>
          <w:sz w:val="20"/>
          <w:szCs w:val="20"/>
        </w:rPr>
      </w:pPr>
    </w:p>
    <w:p w14:paraId="0947C4DA" w14:textId="77777777" w:rsidR="009A6681" w:rsidRDefault="000E6806" w:rsidP="000E6806">
      <w:pPr>
        <w:spacing w:after="0" w:line="264" w:lineRule="auto"/>
        <w:rPr>
          <w:sz w:val="20"/>
          <w:szCs w:val="20"/>
        </w:rPr>
      </w:pPr>
      <w:r w:rsidRPr="000E6806">
        <w:rPr>
          <w:sz w:val="20"/>
          <w:szCs w:val="20"/>
        </w:rPr>
        <w:t>CPH functions as a conduit and an aggregator for nearly any kind of service that Chewy wishes to attach to it</w:t>
      </w:r>
      <w:r w:rsidR="00506730">
        <w:rPr>
          <w:sz w:val="20"/>
          <w:szCs w:val="20"/>
        </w:rPr>
        <w:t>, however</w:t>
      </w:r>
      <w:r w:rsidRPr="000E6806">
        <w:rPr>
          <w:sz w:val="20"/>
          <w:szCs w:val="20"/>
        </w:rPr>
        <w:t xml:space="preserve"> it doesn't</w:t>
      </w:r>
      <w:r w:rsidR="00506730">
        <w:rPr>
          <w:sz w:val="20"/>
          <w:szCs w:val="20"/>
        </w:rPr>
        <w:t xml:space="preserve"> automatically</w:t>
      </w:r>
      <w:r w:rsidRPr="000E6806">
        <w:rPr>
          <w:sz w:val="20"/>
          <w:szCs w:val="20"/>
        </w:rPr>
        <w:t xml:space="preserve"> supply </w:t>
      </w:r>
      <w:r w:rsidR="00506730">
        <w:rPr>
          <w:sz w:val="20"/>
          <w:szCs w:val="20"/>
        </w:rPr>
        <w:t>the underlying</w:t>
      </w:r>
      <w:r w:rsidRPr="000E6806">
        <w:rPr>
          <w:sz w:val="20"/>
          <w:szCs w:val="20"/>
        </w:rPr>
        <w:t xml:space="preserve"> services.</w:t>
      </w:r>
      <w:r w:rsidR="00506730">
        <w:rPr>
          <w:sz w:val="20"/>
          <w:szCs w:val="20"/>
        </w:rPr>
        <w:t xml:space="preserve"> In CPFR’s case, this means that the infrastructure connecting source data to the hub would need to be provided and configured. This creates two areas of concern that must be coordinated</w:t>
      </w:r>
      <w:r w:rsidR="003306FC">
        <w:rPr>
          <w:sz w:val="20"/>
          <w:szCs w:val="20"/>
        </w:rPr>
        <w:t xml:space="preserve">. The first </w:t>
      </w:r>
      <w:r w:rsidR="009A6681">
        <w:rPr>
          <w:sz w:val="20"/>
          <w:szCs w:val="20"/>
        </w:rPr>
        <w:t>is the development work for the CPH hub presence itself, and the second is development work for the data services or infrastructure supplying data to the hub.</w:t>
      </w:r>
    </w:p>
    <w:p w14:paraId="37D37FF5" w14:textId="77777777" w:rsidR="009A6681" w:rsidRDefault="009A6681" w:rsidP="000E6806">
      <w:pPr>
        <w:spacing w:after="0" w:line="264" w:lineRule="auto"/>
        <w:rPr>
          <w:sz w:val="20"/>
          <w:szCs w:val="20"/>
        </w:rPr>
      </w:pPr>
    </w:p>
    <w:tbl>
      <w:tblPr>
        <w:tblW w:w="14476" w:type="dxa"/>
        <w:tblLook w:val="04A0" w:firstRow="1" w:lastRow="0" w:firstColumn="1" w:lastColumn="0" w:noHBand="0" w:noVBand="1"/>
      </w:tblPr>
      <w:tblGrid>
        <w:gridCol w:w="2380"/>
        <w:gridCol w:w="2880"/>
        <w:gridCol w:w="3168"/>
        <w:gridCol w:w="3024"/>
        <w:gridCol w:w="3024"/>
      </w:tblGrid>
      <w:tr w:rsidR="006C4488" w:rsidRPr="006C4488" w14:paraId="4CD3775B" w14:textId="77777777" w:rsidTr="00452DD1">
        <w:trPr>
          <w:trHeight w:val="300"/>
        </w:trPr>
        <w:tc>
          <w:tcPr>
            <w:tcW w:w="2380" w:type="dxa"/>
            <w:tcBorders>
              <w:top w:val="single" w:sz="8" w:space="0" w:color="0070C0"/>
              <w:left w:val="single" w:sz="8" w:space="0" w:color="0070C0"/>
              <w:bottom w:val="nil"/>
              <w:right w:val="nil"/>
            </w:tcBorders>
            <w:shd w:val="clear" w:color="000000" w:fill="0070C0"/>
            <w:noWrap/>
            <w:hideMark/>
          </w:tcPr>
          <w:p w14:paraId="3C9AF18A" w14:textId="77777777" w:rsidR="006C4488" w:rsidRPr="006C4488" w:rsidRDefault="006C4488" w:rsidP="006C4488">
            <w:pPr>
              <w:spacing w:after="0" w:line="240" w:lineRule="auto"/>
              <w:ind w:firstLineChars="100" w:firstLine="201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1F3100BE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CPH Hub + Raw CPFR Queries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35F6490C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CPH Hub + SWE-built Infrastructure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445D2AE6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CPH Hub + BI-built Infrastructure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0070C0"/>
            <w:noWrap/>
            <w:hideMark/>
          </w:tcPr>
          <w:p w14:paraId="454395B7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CPH Hub + SWE/BI Infrastructure</w:t>
            </w:r>
          </w:p>
        </w:tc>
      </w:tr>
      <w:tr w:rsidR="006C4488" w:rsidRPr="006C4488" w14:paraId="595D604E" w14:textId="77777777" w:rsidTr="00452DD1">
        <w:trPr>
          <w:trHeight w:val="1296"/>
        </w:trPr>
        <w:tc>
          <w:tcPr>
            <w:tcW w:w="23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hideMark/>
          </w:tcPr>
          <w:p w14:paraId="6796AAC8" w14:textId="77777777" w:rsidR="006C4488" w:rsidRPr="006C4488" w:rsidRDefault="006C4488" w:rsidP="006C4488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Jobs to be Done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1A22BADC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CPH builds the hub portal, and uses CPFR-supplied queries to pipe directly from Snowflake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41675B98" w14:textId="6F3F36B2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CPH builds the hub portal, and under the umbrella of that project Software Engineering teams (SWEs) build data infrastructure in consultation with CPFR and SC-BIE teams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hideMark/>
          </w:tcPr>
          <w:p w14:paraId="3531AF9C" w14:textId="5FD869D2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CPH builds the hub portal, Supply Chain Business Intelligence Engineering teams (SC-BIEs) build data infrastructure in consul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ation with SWE teams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4E2AC1E5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CPH builds the hub, SC-BIE builds data infrastructure, SWE builds APIs/endpoints and integrates</w:t>
            </w:r>
          </w:p>
        </w:tc>
      </w:tr>
      <w:tr w:rsidR="006C4488" w:rsidRPr="006C4488" w14:paraId="462D1346" w14:textId="77777777" w:rsidTr="00452DD1">
        <w:trPr>
          <w:trHeight w:val="259"/>
        </w:trPr>
        <w:tc>
          <w:tcPr>
            <w:tcW w:w="2380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000000" w:fill="DAE9F8"/>
            <w:hideMark/>
          </w:tcPr>
          <w:p w14:paraId="6E4482AD" w14:textId="77777777" w:rsidR="006C4488" w:rsidRPr="006C4488" w:rsidRDefault="006C4488" w:rsidP="006C4488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CPFR Team LOE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555607B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Low at build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60736587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60AC8A7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to build (work is front-loaded)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6C09BFD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to build (work is front-loaded)</w:t>
            </w:r>
          </w:p>
        </w:tc>
      </w:tr>
      <w:tr w:rsidR="006C4488" w:rsidRPr="006C4488" w14:paraId="2F1067EA" w14:textId="77777777" w:rsidTr="00452DD1">
        <w:trPr>
          <w:trHeight w:val="259"/>
        </w:trPr>
        <w:tc>
          <w:tcPr>
            <w:tcW w:w="2380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000000" w:fill="DAE9F8"/>
            <w:hideMark/>
          </w:tcPr>
          <w:p w14:paraId="4A494084" w14:textId="77777777" w:rsidR="006C4488" w:rsidRPr="006C4488" w:rsidRDefault="006C4488" w:rsidP="006C4488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i/>
                <w:iCs/>
                <w:color w:val="000000"/>
                <w:kern w:val="0"/>
                <w:sz w:val="20"/>
                <w:szCs w:val="20"/>
                <w14:ligatures w14:val="none"/>
              </w:rPr>
              <w:t>(Level of effort)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73CEAD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High to sustain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70ACAC4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Mid to sustain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411C11A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682A050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</w:tr>
      <w:tr w:rsidR="006C4488" w:rsidRPr="006C4488" w14:paraId="223DFCB8" w14:textId="77777777" w:rsidTr="00452DD1">
        <w:trPr>
          <w:trHeight w:val="259"/>
        </w:trPr>
        <w:tc>
          <w:tcPr>
            <w:tcW w:w="2380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000000" w:fill="DAE9F8"/>
            <w:hideMark/>
          </w:tcPr>
          <w:p w14:paraId="236F4B95" w14:textId="77777777" w:rsidR="006C4488" w:rsidRPr="006C4488" w:rsidRDefault="006C4488" w:rsidP="006C4488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CPH Team LOE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FB36938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at build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20D87E3C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2C6F851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D50724E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at build</w:t>
            </w:r>
          </w:p>
        </w:tc>
      </w:tr>
      <w:tr w:rsidR="006C4488" w:rsidRPr="006C4488" w14:paraId="60E3023F" w14:textId="77777777" w:rsidTr="00452DD1">
        <w:trPr>
          <w:trHeight w:val="259"/>
        </w:trPr>
        <w:tc>
          <w:tcPr>
            <w:tcW w:w="2380" w:type="dxa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000000" w:fill="DAE9F8"/>
            <w:hideMark/>
          </w:tcPr>
          <w:p w14:paraId="3F14E547" w14:textId="77777777" w:rsidR="006C4488" w:rsidRPr="006C4488" w:rsidRDefault="006C4488" w:rsidP="006C4488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FACA4BE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D38DF98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9E6AA8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3127DA0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</w:tr>
      <w:tr w:rsidR="006C4488" w:rsidRPr="006C4488" w14:paraId="7D838690" w14:textId="77777777" w:rsidTr="00452DD1">
        <w:trPr>
          <w:trHeight w:val="259"/>
        </w:trPr>
        <w:tc>
          <w:tcPr>
            <w:tcW w:w="2380" w:type="dxa"/>
            <w:vMerge w:val="restart"/>
            <w:tcBorders>
              <w:top w:val="nil"/>
              <w:left w:val="single" w:sz="8" w:space="0" w:color="0070C0"/>
              <w:bottom w:val="nil"/>
              <w:right w:val="nil"/>
            </w:tcBorders>
            <w:shd w:val="clear" w:color="000000" w:fill="DAE9F8"/>
            <w:hideMark/>
          </w:tcPr>
          <w:p w14:paraId="7FDA1954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Software Engineering 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Team(s) LOE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6D0AA1AD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Low at build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BE954E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516BAAF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Low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A89A4C9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Mid at build</w:t>
            </w:r>
          </w:p>
        </w:tc>
      </w:tr>
      <w:tr w:rsidR="006C4488" w:rsidRPr="006C4488" w14:paraId="78DD2B7E" w14:textId="77777777" w:rsidTr="00452DD1">
        <w:trPr>
          <w:trHeight w:val="259"/>
        </w:trPr>
        <w:tc>
          <w:tcPr>
            <w:tcW w:w="2380" w:type="dxa"/>
            <w:vMerge/>
            <w:tcBorders>
              <w:top w:val="nil"/>
              <w:left w:val="single" w:sz="8" w:space="0" w:color="0070C0"/>
              <w:bottom w:val="nil"/>
              <w:right w:val="nil"/>
            </w:tcBorders>
            <w:vAlign w:val="center"/>
            <w:hideMark/>
          </w:tcPr>
          <w:p w14:paraId="39CE3075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3625D2F1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n/a—sustainment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641A4A9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Mid to sustain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5FACFB17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n/a—sustainment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A2998F2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</w:tr>
      <w:tr w:rsidR="006C4488" w:rsidRPr="006C4488" w14:paraId="6879637F" w14:textId="77777777" w:rsidTr="00452DD1">
        <w:trPr>
          <w:trHeight w:val="259"/>
        </w:trPr>
        <w:tc>
          <w:tcPr>
            <w:tcW w:w="2380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57DA67B9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Business Intelligence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Team(s) LOE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70CA1439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Low at build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1376BDC1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n/a—build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shd w:val="clear" w:color="000000" w:fill="DAE9F8"/>
            <w:hideMark/>
          </w:tcPr>
          <w:p w14:paraId="4D5A5015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 at build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CBF0D99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 at build</w:t>
            </w:r>
          </w:p>
        </w:tc>
      </w:tr>
      <w:tr w:rsidR="006C4488" w:rsidRPr="006C4488" w14:paraId="4ADA972C" w14:textId="77777777" w:rsidTr="00452DD1">
        <w:trPr>
          <w:trHeight w:val="259"/>
        </w:trPr>
        <w:tc>
          <w:tcPr>
            <w:tcW w:w="2380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vAlign w:val="center"/>
            <w:hideMark/>
          </w:tcPr>
          <w:p w14:paraId="13EAF2D4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377273E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Mid to sustain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3CD42F71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332CDE7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5B5E471A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B050"/>
                <w:kern w:val="0"/>
                <w:sz w:val="20"/>
                <w:szCs w:val="20"/>
                <w14:ligatures w14:val="none"/>
              </w:rPr>
              <w:t>Low to sustain</w:t>
            </w:r>
          </w:p>
        </w:tc>
      </w:tr>
      <w:tr w:rsidR="00452DD1" w:rsidRPr="006C4488" w14:paraId="4163F3F1" w14:textId="77777777" w:rsidTr="00452DD1">
        <w:trPr>
          <w:trHeight w:val="518"/>
        </w:trPr>
        <w:tc>
          <w:tcPr>
            <w:tcW w:w="2380" w:type="dxa"/>
            <w:tcBorders>
              <w:top w:val="nil"/>
              <w:left w:val="single" w:sz="8" w:space="0" w:color="0070C0"/>
              <w:bottom w:val="nil"/>
              <w:right w:val="nil"/>
            </w:tcBorders>
            <w:hideMark/>
          </w:tcPr>
          <w:p w14:paraId="3EE64DF3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Data Governance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Capability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4492A63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Low / None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5EBD9E7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Good—possibly slow to update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41346C3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High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528E8A7E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High </w:t>
            </w:r>
          </w:p>
        </w:tc>
      </w:tr>
      <w:tr w:rsidR="00452DD1" w:rsidRPr="006C4488" w14:paraId="375ECA7A" w14:textId="77777777" w:rsidTr="00452DD1">
        <w:trPr>
          <w:trHeight w:val="518"/>
        </w:trPr>
        <w:tc>
          <w:tcPr>
            <w:tcW w:w="2380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32923B2B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Clearly Separates CPFR / VDS Knowledge Domains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2EF4B99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7D7F9416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Good—may 'drift' with updates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22611AD6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noWrap/>
            <w:hideMark/>
          </w:tcPr>
          <w:p w14:paraId="024F4D8D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High</w:t>
            </w:r>
          </w:p>
        </w:tc>
      </w:tr>
      <w:tr w:rsidR="00452DD1" w:rsidRPr="006C4488" w14:paraId="639B8E84" w14:textId="77777777" w:rsidTr="00452DD1">
        <w:trPr>
          <w:trHeight w:val="518"/>
        </w:trPr>
        <w:tc>
          <w:tcPr>
            <w:tcW w:w="238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hideMark/>
          </w:tcPr>
          <w:p w14:paraId="4A8A8343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Enhanced Data Availability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3EDA831F" w14:textId="667C4238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  <w:r w:rsidR="00452DD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and tiers are static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5FE517AC" w14:textId="651A6056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  <w:r w:rsidR="00452DD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tiers may be slow to update, limited schema changes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nil"/>
            </w:tcBorders>
            <w:noWrap/>
            <w:hideMark/>
          </w:tcPr>
          <w:p w14:paraId="72CA1266" w14:textId="10752859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  <w:r w:rsidR="00452DD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full schema control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D30C8FE" w14:textId="7FAB7A51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  <w:r w:rsidR="00452DD1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, full schema control</w:t>
            </w:r>
          </w:p>
        </w:tc>
      </w:tr>
      <w:tr w:rsidR="00452DD1" w:rsidRPr="006C4488" w14:paraId="3DEBB589" w14:textId="77777777" w:rsidTr="00452DD1">
        <w:trPr>
          <w:trHeight w:val="518"/>
        </w:trPr>
        <w:tc>
          <w:tcPr>
            <w:tcW w:w="238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61B73A6A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Can Release MVP Platform</w:t>
            </w: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br/>
              <w:t>Before Hub is Complete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4D48D3E4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7DF5B46E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noWrap/>
            <w:hideMark/>
          </w:tcPr>
          <w:p w14:paraId="5617E1A9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Yes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noWrap/>
            <w:hideMark/>
          </w:tcPr>
          <w:p w14:paraId="6D38FA6A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Maybe</w:t>
            </w:r>
          </w:p>
        </w:tc>
      </w:tr>
      <w:tr w:rsidR="006C4488" w:rsidRPr="006C4488" w14:paraId="7FEA5587" w14:textId="77777777" w:rsidTr="00452DD1">
        <w:trPr>
          <w:trHeight w:val="518"/>
        </w:trPr>
        <w:tc>
          <w:tcPr>
            <w:tcW w:w="238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hideMark/>
          </w:tcPr>
          <w:p w14:paraId="16A01A85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Advantages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17261A50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Fastest CPH roll-out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2BCC392B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Single threaded developers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nil"/>
            </w:tcBorders>
            <w:hideMark/>
          </w:tcPr>
          <w:p w14:paraId="54B9F2BF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Single-threaded sustainment; "in-house" enhancement capabilities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7CA27834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"In-house" enhancement capabilities</w:t>
            </w:r>
          </w:p>
        </w:tc>
      </w:tr>
      <w:tr w:rsidR="006C4488" w:rsidRPr="006C4488" w14:paraId="4773B6D0" w14:textId="77777777" w:rsidTr="00452DD1">
        <w:trPr>
          <w:trHeight w:val="778"/>
        </w:trPr>
        <w:tc>
          <w:tcPr>
            <w:tcW w:w="2380" w:type="dxa"/>
            <w:tcBorders>
              <w:top w:val="nil"/>
              <w:left w:val="single" w:sz="8" w:space="0" w:color="0070C0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5BE018F2" w14:textId="77777777" w:rsidR="006C4488" w:rsidRPr="006C4488" w:rsidRDefault="006C4488" w:rsidP="006C4488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Complications / Risks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3F29F453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Inherits any current suboptimalities or errors in queries; limited extensibility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478EEA05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Multi-threaded sustainment; externalizes design, build, and future enhancements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nil"/>
            </w:tcBorders>
            <w:shd w:val="clear" w:color="000000" w:fill="DAE9F8"/>
            <w:hideMark/>
          </w:tcPr>
          <w:p w14:paraId="50B4A1CD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Must coordinate two build teams in separate domains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3CB00319" w14:textId="77777777" w:rsidR="006C4488" w:rsidRPr="006C4488" w:rsidRDefault="006C4488" w:rsidP="006C448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6C4488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Must coordinate three build teams in overlapping domains</w:t>
            </w:r>
          </w:p>
        </w:tc>
      </w:tr>
    </w:tbl>
    <w:p w14:paraId="6A5F8CF3" w14:textId="51A35739" w:rsidR="00452DD1" w:rsidRDefault="00452DD1" w:rsidP="00452DD1">
      <w:pPr>
        <w:spacing w:after="0" w:line="264" w:lineRule="auto"/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CD8C67" w14:textId="0D986C57" w:rsidR="00452DD1" w:rsidRPr="00452DD1" w:rsidRDefault="00452DD1" w:rsidP="00452DD1">
      <w:pPr>
        <w:spacing w:after="0" w:line="264" w:lineRule="auto"/>
        <w:rPr>
          <w:sz w:val="12"/>
          <w:szCs w:val="12"/>
        </w:rPr>
      </w:pPr>
    </w:p>
    <w:p w14:paraId="742F6D7C" w14:textId="274D90DA" w:rsidR="00452DD1" w:rsidRPr="00452DD1" w:rsidRDefault="00452DD1" w:rsidP="00452DD1">
      <w:pPr>
        <w:spacing w:before="120" w:after="0" w:line="264" w:lineRule="auto"/>
        <w:rPr>
          <w:b/>
          <w:bCs/>
        </w:rPr>
      </w:pPr>
      <w:r w:rsidRPr="00452DD1">
        <w:rPr>
          <w:b/>
          <w:bCs/>
        </w:rPr>
        <w:t>APPENDIX 2: CPFR Tiering Structure</w:t>
      </w:r>
    </w:p>
    <w:p w14:paraId="34F8C3DC" w14:textId="77777777" w:rsidR="00452DD1" w:rsidRDefault="00452DD1" w:rsidP="00452DD1">
      <w:pPr>
        <w:spacing w:after="0" w:line="264" w:lineRule="auto"/>
        <w:rPr>
          <w:sz w:val="20"/>
          <w:szCs w:val="20"/>
        </w:rPr>
      </w:pPr>
    </w:p>
    <w:p w14:paraId="3A1783B5" w14:textId="223F5F15" w:rsidR="00F91F7F" w:rsidRDefault="00F9531E" w:rsidP="00452DD1">
      <w:pPr>
        <w:spacing w:after="0" w:line="264" w:lineRule="auto"/>
        <w:rPr>
          <w:sz w:val="20"/>
          <w:szCs w:val="20"/>
        </w:rPr>
      </w:pPr>
      <w:r w:rsidRPr="00F9531E">
        <w:rPr>
          <w:sz w:val="20"/>
          <w:szCs w:val="20"/>
        </w:rPr>
        <w:t>CPFR's tiered data access structure demonstrates how Chewy balances comprehensive vendor coverage with differentiated data needs. The four-tier system serves 2,274 total vendors, with Tier 1 (10 vendors) receiving the most comprehensive dataset including extended forecasting horizons, detailed inventory metrics, and complete catalog information. As tiers progress from 1 to 4, data granularity decreases while vendor count increases significantly—Tier 4 alone serves 1,255 vendors with basic operational metrics. This structure reflects Chewy's approach to scaling data-sharing across a diverse vendor base, with ISMs tailoring data access to align with each vendor's operational capabilities and business needs.</w:t>
      </w:r>
    </w:p>
    <w:p w14:paraId="467B825D" w14:textId="77777777" w:rsidR="00452DD1" w:rsidRPr="000E6806" w:rsidRDefault="00452DD1" w:rsidP="00452DD1">
      <w:pPr>
        <w:spacing w:after="0" w:line="264" w:lineRule="auto"/>
        <w:rPr>
          <w:sz w:val="20"/>
          <w:szCs w:val="20"/>
        </w:rPr>
      </w:pPr>
    </w:p>
    <w:tbl>
      <w:tblPr>
        <w:tblW w:w="14400" w:type="dxa"/>
        <w:tblCellMar>
          <w:right w:w="173" w:type="dxa"/>
        </w:tblCellMar>
        <w:tblLook w:val="04A0" w:firstRow="1" w:lastRow="0" w:firstColumn="1" w:lastColumn="0" w:noHBand="0" w:noVBand="1"/>
      </w:tblPr>
      <w:tblGrid>
        <w:gridCol w:w="2448"/>
        <w:gridCol w:w="2880"/>
        <w:gridCol w:w="2880"/>
        <w:gridCol w:w="3024"/>
        <w:gridCol w:w="3168"/>
      </w:tblGrid>
      <w:tr w:rsidR="00737FC7" w:rsidRPr="00F91F7F" w14:paraId="77F9DD41" w14:textId="77777777" w:rsidTr="000E6806">
        <w:trPr>
          <w:trHeight w:val="259"/>
        </w:trPr>
        <w:tc>
          <w:tcPr>
            <w:tcW w:w="2448" w:type="dxa"/>
            <w:tcBorders>
              <w:top w:val="single" w:sz="8" w:space="0" w:color="0070C0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0070C0"/>
            <w:noWrap/>
            <w:hideMark/>
          </w:tcPr>
          <w:p w14:paraId="4E53C4E2" w14:textId="4B6C0BED" w:rsidR="00624458" w:rsidRPr="00F91F7F" w:rsidRDefault="00624458" w:rsidP="006244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CPFR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EB4E365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4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C849CF6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3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06869291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2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nil"/>
            </w:tcBorders>
            <w:shd w:val="clear" w:color="000000" w:fill="0070C0"/>
            <w:noWrap/>
            <w:hideMark/>
          </w:tcPr>
          <w:p w14:paraId="73B16844" w14:textId="77777777" w:rsidR="00F91F7F" w:rsidRPr="00F91F7F" w:rsidRDefault="00F91F7F" w:rsidP="00F91F7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0"/>
                <w:szCs w:val="20"/>
                <w14:ligatures w14:val="none"/>
              </w:rPr>
              <w:t>Tier 1</w:t>
            </w:r>
          </w:p>
        </w:tc>
      </w:tr>
      <w:tr w:rsidR="00737FC7" w:rsidRPr="00F91F7F" w14:paraId="5C853B16" w14:textId="77777777" w:rsidTr="000E6806">
        <w:trPr>
          <w:trHeight w:val="259"/>
        </w:trPr>
        <w:tc>
          <w:tcPr>
            <w:tcW w:w="2448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7A9FDD3" w14:textId="77777777" w:rsidR="00F91F7F" w:rsidRPr="00F91F7F" w:rsidRDefault="00F91F7F" w:rsidP="000E6806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Forecast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5F7B6131" w14:textId="584C0193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1B4C70F7" w14:textId="27FB3BEF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5E96773D" w14:textId="7812A93A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4D695240" w14:textId="339C5E33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Current Month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</w:tr>
      <w:tr w:rsidR="00737FC7" w:rsidRPr="00F91F7F" w14:paraId="7F17E4B2" w14:textId="77777777" w:rsidTr="000E6806">
        <w:trPr>
          <w:trHeight w:val="259"/>
        </w:trPr>
        <w:tc>
          <w:tcPr>
            <w:tcW w:w="2448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E38B30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6038ECEE" w14:textId="4A9B855C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3-Months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2E65B21" w14:textId="0307B2F2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5A42AD58" w14:textId="6A120438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4B00F731" w14:textId="2303491E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Next 6-Months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Forecast</w:t>
            </w:r>
          </w:p>
        </w:tc>
      </w:tr>
      <w:tr w:rsidR="00737FC7" w:rsidRPr="00F91F7F" w14:paraId="300AD3E4" w14:textId="77777777" w:rsidTr="000E6806">
        <w:trPr>
          <w:trHeight w:val="259"/>
        </w:trPr>
        <w:tc>
          <w:tcPr>
            <w:tcW w:w="2448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noWrap/>
            <w:hideMark/>
          </w:tcPr>
          <w:p w14:paraId="52AD6EF5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Autoship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286953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017C54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AF94F7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 Demand (30 days)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96AC4C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 Demand (30 days)</w:t>
            </w:r>
          </w:p>
        </w:tc>
      </w:tr>
      <w:tr w:rsidR="00737FC7" w:rsidRPr="00F91F7F" w14:paraId="5692629C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A6F990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164DD0F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4257965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35302B7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13FFC76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AS-Backorders</w:t>
            </w:r>
          </w:p>
        </w:tc>
      </w:tr>
      <w:tr w:rsidR="00737FC7" w:rsidRPr="00F91F7F" w14:paraId="1DBE8837" w14:textId="77777777" w:rsidTr="000E6806">
        <w:trPr>
          <w:trHeight w:val="259"/>
        </w:trPr>
        <w:tc>
          <w:tcPr>
            <w:tcW w:w="2448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8DDD57C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Inventory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153D59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8357F5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761CCC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OH Units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4DFA7DF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OH Units</w:t>
            </w:r>
          </w:p>
        </w:tc>
      </w:tr>
      <w:tr w:rsidR="00737FC7" w:rsidRPr="00F91F7F" w14:paraId="3377C58F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17C794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F46583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18B2F64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249E891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 Units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70FCF60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 Units</w:t>
            </w:r>
          </w:p>
        </w:tc>
      </w:tr>
      <w:tr w:rsidR="00737FC7" w:rsidRPr="00F91F7F" w14:paraId="6116A301" w14:textId="77777777" w:rsidTr="000E6806">
        <w:trPr>
          <w:trHeight w:val="259"/>
        </w:trPr>
        <w:tc>
          <w:tcPr>
            <w:tcW w:w="2448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14E2D665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OOS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D4793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1DE6A8F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34ED410F" w14:textId="7CA154F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PDP %</w:t>
            </w:r>
            <w:r w:rsidR="000E680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(trailing </w:t>
            </w:r>
            <w:r w:rsidR="000E6806"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30-day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avg)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CE5A5CF" w14:textId="4FEA6318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PDP %</w:t>
            </w:r>
            <w:r w:rsidR="000E680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(trailing </w:t>
            </w:r>
            <w:r w:rsidR="000E6806"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30-day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avg)</w:t>
            </w:r>
          </w:p>
        </w:tc>
      </w:tr>
      <w:tr w:rsidR="00737FC7" w:rsidRPr="00F91F7F" w14:paraId="37D6C66F" w14:textId="77777777" w:rsidTr="000E6806">
        <w:trPr>
          <w:trHeight w:val="259"/>
        </w:trPr>
        <w:tc>
          <w:tcPr>
            <w:tcW w:w="244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3C784F08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 Rate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6E7CAE6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403CD1E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784E902B" w14:textId="5CA28456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Fill-Rate %</w:t>
            </w:r>
            <w:r w:rsidR="000E680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(trailing </w:t>
            </w:r>
            <w:r w:rsidR="000E6806"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30-day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avg)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78FDB35C" w14:textId="0899C34D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Fill-Rate %</w:t>
            </w:r>
            <w:r w:rsidR="000E680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(trailing </w:t>
            </w:r>
            <w:r w:rsidR="000E6806"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30-day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avg)</w:t>
            </w:r>
          </w:p>
        </w:tc>
      </w:tr>
      <w:tr w:rsidR="00737FC7" w:rsidRPr="00F91F7F" w14:paraId="6015FFA9" w14:textId="77777777" w:rsidTr="000E6806">
        <w:trPr>
          <w:trHeight w:val="259"/>
        </w:trPr>
        <w:tc>
          <w:tcPr>
            <w:tcW w:w="2448" w:type="dxa"/>
            <w:tcBorders>
              <w:top w:val="nil"/>
              <w:left w:val="single" w:sz="8" w:space="0" w:color="0070C0"/>
              <w:bottom w:val="nil"/>
              <w:right w:val="single" w:sz="8" w:space="0" w:color="0070C0"/>
            </w:tcBorders>
            <w:shd w:val="clear" w:color="000000" w:fill="DAE9F8"/>
            <w:noWrap/>
            <w:hideMark/>
          </w:tcPr>
          <w:p w14:paraId="45876D76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77F193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1F81D0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67EE76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D80C51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DOS</w:t>
            </w:r>
          </w:p>
        </w:tc>
      </w:tr>
      <w:tr w:rsidR="00737FC7" w:rsidRPr="00F91F7F" w14:paraId="3DF1892E" w14:textId="77777777" w:rsidTr="000E6806">
        <w:trPr>
          <w:trHeight w:val="259"/>
        </w:trPr>
        <w:tc>
          <w:tcPr>
            <w:tcW w:w="2448" w:type="dxa"/>
            <w:vMerge w:val="restart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46FDDD59" w14:textId="77777777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142168D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60BFBAD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nil"/>
              <w:right w:val="single" w:sz="4" w:space="0" w:color="0070C0"/>
            </w:tcBorders>
            <w:hideMark/>
          </w:tcPr>
          <w:p w14:paraId="3670004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nil"/>
              <w:right w:val="single" w:sz="8" w:space="0" w:color="0070C0"/>
            </w:tcBorders>
            <w:hideMark/>
          </w:tcPr>
          <w:p w14:paraId="01C6AD4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by FC</w:t>
            </w:r>
          </w:p>
        </w:tc>
      </w:tr>
      <w:tr w:rsidR="00737FC7" w:rsidRPr="00F91F7F" w14:paraId="6243DD3B" w14:textId="77777777" w:rsidTr="000E6806">
        <w:trPr>
          <w:trHeight w:val="259"/>
        </w:trPr>
        <w:tc>
          <w:tcPr>
            <w:tcW w:w="2448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76287922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9BC12E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0F2CE93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48FC255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0C31818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by Region</w:t>
            </w:r>
          </w:p>
        </w:tc>
      </w:tr>
      <w:tr w:rsidR="00737FC7" w:rsidRPr="00F91F7F" w14:paraId="10E7EC8B" w14:textId="77777777" w:rsidTr="000E6806">
        <w:trPr>
          <w:trHeight w:val="259"/>
        </w:trPr>
        <w:tc>
          <w:tcPr>
            <w:tcW w:w="2448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608B068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50878BE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B0E91E6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hideMark/>
          </w:tcPr>
          <w:p w14:paraId="7900303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hideMark/>
          </w:tcPr>
          <w:p w14:paraId="1746C45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NOP / OP Demand</w:t>
            </w:r>
          </w:p>
        </w:tc>
      </w:tr>
      <w:tr w:rsidR="00737FC7" w:rsidRPr="00F91F7F" w14:paraId="7631A9A7" w14:textId="77777777" w:rsidTr="000E6806">
        <w:trPr>
          <w:trHeight w:val="259"/>
        </w:trPr>
        <w:tc>
          <w:tcPr>
            <w:tcW w:w="2448" w:type="dxa"/>
            <w:vMerge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2C6A524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05E3806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03C2C18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hideMark/>
          </w:tcPr>
          <w:p w14:paraId="6185EE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14:paraId="6A0FAB7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 Demand</w:t>
            </w:r>
          </w:p>
        </w:tc>
      </w:tr>
      <w:tr w:rsidR="00737FC7" w:rsidRPr="00F91F7F" w14:paraId="6C16DCCE" w14:textId="77777777" w:rsidTr="000E6806">
        <w:trPr>
          <w:trHeight w:val="259"/>
        </w:trPr>
        <w:tc>
          <w:tcPr>
            <w:tcW w:w="2448" w:type="dxa"/>
            <w:vMerge w:val="restart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6A465910" w14:textId="3CE356CF" w:rsidR="00F91F7F" w:rsidRPr="00F91F7F" w:rsidRDefault="00F91F7F" w:rsidP="00F91F7F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Catalog</w:t>
            </w:r>
            <w:r w:rsidR="000E6806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Details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7D39C2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C1A0F6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ECDEC1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0CE5EF38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Published Y/N</w:t>
            </w:r>
          </w:p>
        </w:tc>
      </w:tr>
      <w:tr w:rsidR="00737FC7" w:rsidRPr="00F91F7F" w14:paraId="4E6D113D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421C425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E6E9C4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46E2BA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18D9A0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505B021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Discontinued Y/N</w:t>
            </w:r>
          </w:p>
        </w:tc>
      </w:tr>
      <w:tr w:rsidR="00737FC7" w:rsidRPr="00F91F7F" w14:paraId="2E4569C4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93B30E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ED0867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0C2FD3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7379D29E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2391DFD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MOQ</w:t>
            </w:r>
          </w:p>
        </w:tc>
      </w:tr>
      <w:tr w:rsidR="00737FC7" w:rsidRPr="00F91F7F" w14:paraId="4B1262B9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7F747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472E51D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66CC59DB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48A01BF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415DEB23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Base UOM, Purchase UOM</w:t>
            </w:r>
          </w:p>
        </w:tc>
      </w:tr>
      <w:tr w:rsidR="00737FC7" w:rsidRPr="00F91F7F" w14:paraId="1E016A2D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1B623837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21343C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581B690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2E982B0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1EB8437A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Eaches per Case/Layer/Pallet</w:t>
            </w:r>
          </w:p>
        </w:tc>
      </w:tr>
      <w:tr w:rsidR="00737FC7" w:rsidRPr="00F91F7F" w14:paraId="42800E5C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3753056F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070438F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4808F8D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single" w:sz="4" w:space="0" w:color="0070C0"/>
            </w:tcBorders>
            <w:shd w:val="clear" w:color="000000" w:fill="DAE9F8"/>
            <w:hideMark/>
          </w:tcPr>
          <w:p w14:paraId="1B3F7660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single" w:sz="8" w:space="0" w:color="0070C0"/>
            </w:tcBorders>
            <w:shd w:val="clear" w:color="000000" w:fill="DAE9F8"/>
            <w:hideMark/>
          </w:tcPr>
          <w:p w14:paraId="6CACF6AC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Order divisibility by Pallet/Layer</w:t>
            </w:r>
          </w:p>
        </w:tc>
      </w:tr>
      <w:tr w:rsidR="00737FC7" w:rsidRPr="00F91F7F" w14:paraId="19D43250" w14:textId="77777777" w:rsidTr="000E6806">
        <w:trPr>
          <w:trHeight w:val="259"/>
        </w:trPr>
        <w:tc>
          <w:tcPr>
            <w:tcW w:w="2448" w:type="dxa"/>
            <w:vMerge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vAlign w:val="center"/>
            <w:hideMark/>
          </w:tcPr>
          <w:p w14:paraId="45B3AC39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18E2E784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53D8808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024" w:type="dxa"/>
            <w:tcBorders>
              <w:top w:val="nil"/>
              <w:left w:val="nil"/>
              <w:bottom w:val="single" w:sz="8" w:space="0" w:color="0070C0"/>
              <w:right w:val="single" w:sz="4" w:space="0" w:color="0070C0"/>
            </w:tcBorders>
            <w:shd w:val="clear" w:color="000000" w:fill="DAE9F8"/>
            <w:hideMark/>
          </w:tcPr>
          <w:p w14:paraId="33C6AEA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 </w:t>
            </w:r>
          </w:p>
        </w:tc>
        <w:tc>
          <w:tcPr>
            <w:tcW w:w="3168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shd w:val="clear" w:color="000000" w:fill="DAE9F8"/>
            <w:hideMark/>
          </w:tcPr>
          <w:p w14:paraId="68262131" w14:textId="77777777" w:rsidR="00F91F7F" w:rsidRPr="00F91F7F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Temp Disable</w:t>
            </w:r>
          </w:p>
        </w:tc>
      </w:tr>
      <w:tr w:rsidR="00737FC7" w:rsidRPr="00F91F7F" w14:paraId="18363E3D" w14:textId="77777777" w:rsidTr="000E6806">
        <w:trPr>
          <w:trHeight w:val="144"/>
        </w:trPr>
        <w:tc>
          <w:tcPr>
            <w:tcW w:w="244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9AF4E9" w14:textId="77777777" w:rsidR="00F91F7F" w:rsidRPr="000E6806" w:rsidRDefault="00F91F7F" w:rsidP="00F91F7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12"/>
                <w:szCs w:val="12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FB28448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899EE3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A15769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6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33508" w14:textId="77777777" w:rsidR="00F91F7F" w:rsidRPr="00F91F7F" w:rsidRDefault="00F91F7F" w:rsidP="00F91F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737FC7" w:rsidRPr="00F91F7F" w14:paraId="43114C84" w14:textId="77777777" w:rsidTr="000E6806">
        <w:trPr>
          <w:trHeight w:val="259"/>
        </w:trPr>
        <w:tc>
          <w:tcPr>
            <w:tcW w:w="2448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hideMark/>
          </w:tcPr>
          <w:p w14:paraId="73FE64D3" w14:textId="362486EC" w:rsidR="00F91F7F" w:rsidRPr="00F91F7F" w:rsidRDefault="00F91F7F" w:rsidP="00B11033">
            <w:pPr>
              <w:spacing w:after="0" w:line="240" w:lineRule="auto"/>
              <w:ind w:firstLineChars="100" w:firstLine="200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Vendors</w:t>
            </w:r>
            <w:r w:rsidR="00737FC7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Per Tier *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hideMark/>
          </w:tcPr>
          <w:p w14:paraId="016EFB7A" w14:textId="77777777" w:rsidR="00F91F7F" w:rsidRPr="00F91F7F" w:rsidRDefault="00F91F7F" w:rsidP="00B1103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1255</w:t>
            </w:r>
          </w:p>
        </w:tc>
        <w:tc>
          <w:tcPr>
            <w:tcW w:w="2880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hideMark/>
          </w:tcPr>
          <w:p w14:paraId="19B21E83" w14:textId="77777777" w:rsidR="00F91F7F" w:rsidRPr="00F91F7F" w:rsidRDefault="00F91F7F" w:rsidP="00B1103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955</w:t>
            </w:r>
          </w:p>
        </w:tc>
        <w:tc>
          <w:tcPr>
            <w:tcW w:w="3024" w:type="dxa"/>
            <w:tcBorders>
              <w:top w:val="single" w:sz="8" w:space="0" w:color="0070C0"/>
              <w:left w:val="nil"/>
              <w:bottom w:val="single" w:sz="8" w:space="0" w:color="0070C0"/>
              <w:right w:val="single" w:sz="4" w:space="0" w:color="0070C0"/>
            </w:tcBorders>
            <w:noWrap/>
            <w:hideMark/>
          </w:tcPr>
          <w:p w14:paraId="61493AFD" w14:textId="77777777" w:rsidR="00F91F7F" w:rsidRPr="00F91F7F" w:rsidRDefault="00F91F7F" w:rsidP="00B1103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3168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noWrap/>
            <w:hideMark/>
          </w:tcPr>
          <w:p w14:paraId="5168F87A" w14:textId="77777777" w:rsidR="00F91F7F" w:rsidRPr="00F91F7F" w:rsidRDefault="00F91F7F" w:rsidP="00B1103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F91F7F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</w:tr>
    </w:tbl>
    <w:p w14:paraId="1B6778EE" w14:textId="0749170C" w:rsidR="00F91F7F" w:rsidRDefault="00737FC7" w:rsidP="00B11033">
      <w:pPr>
        <w:spacing w:after="0" w:line="264" w:lineRule="auto"/>
        <w:ind w:left="720"/>
        <w:rPr>
          <w:rFonts w:ascii="Aptos Narrow" w:eastAsia="Times New Roman" w:hAnsi="Aptos Narrow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F91F7F">
        <w:rPr>
          <w:rFonts w:ascii="Aptos Narrow" w:eastAsia="Times New Roman" w:hAnsi="Aptos Narrow" w:cs="Times New Roman"/>
          <w:i/>
          <w:iCs/>
          <w:color w:val="000000"/>
          <w:kern w:val="0"/>
          <w:sz w:val="18"/>
          <w:szCs w:val="18"/>
          <w14:ligatures w14:val="none"/>
        </w:rPr>
        <w:t>* Includes FC + Drop-ship vendors; Tiers 1 - 4 are sent by unique vendor number… does not consider parent company</w:t>
      </w:r>
    </w:p>
    <w:p w14:paraId="7122EE7D" w14:textId="64242B3E" w:rsidR="00737FC7" w:rsidRDefault="00737FC7" w:rsidP="00B11033">
      <w:pPr>
        <w:spacing w:after="0" w:line="264" w:lineRule="auto"/>
        <w:ind w:left="720"/>
        <w:rPr>
          <w:rFonts w:ascii="Aptos Narrow" w:eastAsia="Times New Roman" w:hAnsi="Aptos Narrow" w:cs="Times New Roman"/>
          <w:i/>
          <w:iCs/>
          <w:color w:val="000000"/>
          <w:kern w:val="0"/>
          <w:sz w:val="18"/>
          <w:szCs w:val="18"/>
          <w14:ligatures w14:val="none"/>
        </w:rPr>
      </w:pPr>
      <w:r w:rsidRPr="00F91F7F">
        <w:rPr>
          <w:rFonts w:ascii="Aptos Narrow" w:eastAsia="Times New Roman" w:hAnsi="Aptos Narrow" w:cs="Times New Roman"/>
          <w:i/>
          <w:iCs/>
          <w:color w:val="000000"/>
          <w:kern w:val="0"/>
          <w:sz w:val="18"/>
          <w:szCs w:val="18"/>
          <w14:ligatures w14:val="none"/>
        </w:rPr>
        <w:t>** CPFR enrolls approximately 70% of overall vendor population</w:t>
      </w:r>
    </w:p>
    <w:p w14:paraId="418F9D47" w14:textId="77777777" w:rsidR="00452DD1" w:rsidRDefault="00452DD1" w:rsidP="00452DD1">
      <w:pPr>
        <w:spacing w:after="0" w:line="264" w:lineRule="auto"/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</w:p>
    <w:p w14:paraId="101DE699" w14:textId="6624472F" w:rsidR="00452DD1" w:rsidRDefault="00452DD1">
      <w:pPr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0"/>
          <w:szCs w:val="20"/>
          <w14:ligatures w14:val="none"/>
        </w:rPr>
        <w:br w:type="page"/>
      </w:r>
    </w:p>
    <w:p w14:paraId="18CBBA7B" w14:textId="77777777" w:rsidR="00452DD1" w:rsidRDefault="00452DD1" w:rsidP="00452DD1">
      <w:pPr>
        <w:spacing w:after="0" w:line="264" w:lineRule="auto"/>
        <w:rPr>
          <w:rFonts w:ascii="Aptos Narrow" w:hAnsi="Aptos Narrow"/>
          <w:sz w:val="20"/>
          <w:szCs w:val="20"/>
        </w:rPr>
      </w:pPr>
    </w:p>
    <w:p w14:paraId="3CFFC02F" w14:textId="3EC4EDAF" w:rsidR="00452DD1" w:rsidRPr="00452DD1" w:rsidRDefault="00452DD1" w:rsidP="00452DD1">
      <w:pPr>
        <w:spacing w:after="0" w:line="264" w:lineRule="auto"/>
        <w:rPr>
          <w:rFonts w:ascii="Aptos Narrow" w:hAnsi="Aptos Narrow"/>
          <w:b/>
          <w:bCs/>
        </w:rPr>
      </w:pPr>
      <w:r w:rsidRPr="00452DD1">
        <w:rPr>
          <w:rFonts w:ascii="Aptos Narrow" w:hAnsi="Aptos Narrow"/>
          <w:b/>
          <w:bCs/>
        </w:rPr>
        <w:t>APPENDIX 3: Notes and Errata</w:t>
      </w:r>
    </w:p>
    <w:p w14:paraId="434A7518" w14:textId="77777777" w:rsidR="00452DD1" w:rsidRDefault="00452DD1" w:rsidP="00452DD1">
      <w:pPr>
        <w:spacing w:after="0" w:line="264" w:lineRule="auto"/>
        <w:rPr>
          <w:rFonts w:ascii="Aptos Narrow" w:hAnsi="Aptos Narrow"/>
          <w:sz w:val="20"/>
          <w:szCs w:val="20"/>
        </w:rPr>
      </w:pPr>
    </w:p>
    <w:p w14:paraId="7A4601F6" w14:textId="25B30022" w:rsidR="00452DD1" w:rsidRDefault="00525E4C" w:rsidP="00452DD1">
      <w:pPr>
        <w:spacing w:after="0" w:line="264" w:lineRule="auto"/>
        <w:rPr>
          <w:rFonts w:ascii="Aptos" w:hAnsi="Aptos"/>
          <w:b/>
          <w:bCs/>
          <w:sz w:val="20"/>
          <w:szCs w:val="20"/>
        </w:rPr>
      </w:pPr>
      <w:r>
        <w:rPr>
          <w:rFonts w:ascii="Aptos" w:hAnsi="Aptos"/>
          <w:b/>
          <w:bCs/>
          <w:sz w:val="20"/>
          <w:szCs w:val="20"/>
        </w:rPr>
        <w:t>Additional Considerations:</w:t>
      </w:r>
    </w:p>
    <w:p w14:paraId="5A8059F0" w14:textId="77777777" w:rsidR="00525E4C" w:rsidRDefault="00525E4C" w:rsidP="00452DD1">
      <w:pPr>
        <w:spacing w:after="0" w:line="264" w:lineRule="auto"/>
        <w:rPr>
          <w:rFonts w:ascii="Aptos" w:hAnsi="Aptos"/>
          <w:b/>
          <w:bCs/>
          <w:sz w:val="20"/>
          <w:szCs w:val="20"/>
        </w:rPr>
      </w:pPr>
    </w:p>
    <w:p w14:paraId="745B946A" w14:textId="1DD0B680" w:rsidR="00525E4C" w:rsidRDefault="00525E4C" w:rsidP="00525E4C">
      <w:pPr>
        <w:pStyle w:val="ListParagraph"/>
        <w:numPr>
          <w:ilvl w:val="0"/>
          <w:numId w:val="30"/>
        </w:numPr>
        <w:spacing w:after="0" w:line="264" w:lineRule="auto"/>
        <w:ind w:left="360"/>
        <w:rPr>
          <w:rFonts w:ascii="Aptos" w:hAnsi="Aptos"/>
          <w:sz w:val="20"/>
          <w:szCs w:val="20"/>
        </w:rPr>
      </w:pPr>
      <w:r w:rsidRPr="00525E4C">
        <w:rPr>
          <w:rFonts w:ascii="Aptos" w:hAnsi="Aptos"/>
          <w:sz w:val="20"/>
          <w:szCs w:val="20"/>
          <w:u w:val="single"/>
        </w:rPr>
        <w:t>Buy vs. Build:</w:t>
      </w:r>
      <w:r>
        <w:rPr>
          <w:rFonts w:ascii="Aptos" w:hAnsi="Aptos"/>
          <w:sz w:val="20"/>
          <w:szCs w:val="20"/>
        </w:rPr>
        <w:t xml:space="preserve"> </w:t>
      </w:r>
      <w:proofErr w:type="gramStart"/>
      <w:r>
        <w:rPr>
          <w:rFonts w:ascii="Aptos" w:hAnsi="Aptos"/>
          <w:sz w:val="20"/>
          <w:szCs w:val="20"/>
        </w:rPr>
        <w:t>At this time</w:t>
      </w:r>
      <w:proofErr w:type="gramEnd"/>
      <w:r>
        <w:rPr>
          <w:rFonts w:ascii="Aptos" w:hAnsi="Aptos"/>
          <w:sz w:val="20"/>
          <w:szCs w:val="20"/>
        </w:rPr>
        <w:t xml:space="preserve">, Chewy’s CPFR needs are best served by improving consistency and accessibility of data. Chewy’s tech-stack and in-house expertise is already competent for these purposes, and ‘off the </w:t>
      </w:r>
      <w:proofErr w:type="gramStart"/>
      <w:r>
        <w:rPr>
          <w:rFonts w:ascii="Aptos" w:hAnsi="Aptos"/>
          <w:sz w:val="20"/>
          <w:szCs w:val="20"/>
        </w:rPr>
        <w:t>shelf’</w:t>
      </w:r>
      <w:proofErr w:type="gramEnd"/>
      <w:r>
        <w:rPr>
          <w:rFonts w:ascii="Aptos" w:hAnsi="Aptos"/>
          <w:sz w:val="20"/>
          <w:szCs w:val="20"/>
        </w:rPr>
        <w:t xml:space="preserve"> tools or platforms are not expected to add significant incremental value and increase risk</w:t>
      </w:r>
    </w:p>
    <w:p w14:paraId="75F1136A" w14:textId="322E8FF4" w:rsidR="00525E4C" w:rsidRPr="00525E4C" w:rsidRDefault="00525E4C" w:rsidP="00525E4C">
      <w:pPr>
        <w:pStyle w:val="ListParagraph"/>
        <w:numPr>
          <w:ilvl w:val="0"/>
          <w:numId w:val="30"/>
        </w:numPr>
        <w:spacing w:after="0" w:line="264" w:lineRule="auto"/>
        <w:ind w:left="360"/>
        <w:rPr>
          <w:rFonts w:ascii="Aptos" w:hAnsi="Aptos"/>
          <w:sz w:val="20"/>
          <w:szCs w:val="20"/>
        </w:rPr>
      </w:pPr>
      <w:r>
        <w:rPr>
          <w:rFonts w:ascii="Aptos" w:hAnsi="Aptos"/>
          <w:sz w:val="20"/>
          <w:szCs w:val="20"/>
        </w:rPr>
        <w:t xml:space="preserve">VDS Lite: While VDS Lite should be considered a relevant candidate among these solutions, </w:t>
      </w:r>
      <w:proofErr w:type="gramStart"/>
      <w:r>
        <w:rPr>
          <w:rFonts w:ascii="Aptos" w:hAnsi="Aptos"/>
          <w:sz w:val="20"/>
          <w:szCs w:val="20"/>
        </w:rPr>
        <w:t>it’s</w:t>
      </w:r>
      <w:proofErr w:type="gramEnd"/>
      <w:r>
        <w:rPr>
          <w:rFonts w:ascii="Aptos" w:hAnsi="Aptos"/>
          <w:sz w:val="20"/>
          <w:szCs w:val="20"/>
        </w:rPr>
        <w:t xml:space="preserve"> status in KTLO, as well as the undefined nature of </w:t>
      </w:r>
      <w:proofErr w:type="gramStart"/>
      <w:r>
        <w:rPr>
          <w:rFonts w:ascii="Aptos" w:hAnsi="Aptos"/>
          <w:sz w:val="20"/>
          <w:szCs w:val="20"/>
        </w:rPr>
        <w:t>it’s</w:t>
      </w:r>
      <w:proofErr w:type="gramEnd"/>
      <w:r>
        <w:rPr>
          <w:rFonts w:ascii="Aptos" w:hAnsi="Aptos"/>
          <w:sz w:val="20"/>
          <w:szCs w:val="20"/>
        </w:rPr>
        <w:t xml:space="preserve"> capacities and capabilities make it impossible to accurately evaluate </w:t>
      </w:r>
      <w:proofErr w:type="gramStart"/>
      <w:r>
        <w:rPr>
          <w:rFonts w:ascii="Aptos" w:hAnsi="Aptos"/>
          <w:sz w:val="20"/>
          <w:szCs w:val="20"/>
        </w:rPr>
        <w:t>it’s</w:t>
      </w:r>
      <w:proofErr w:type="gramEnd"/>
      <w:r>
        <w:rPr>
          <w:rFonts w:ascii="Aptos" w:hAnsi="Aptos"/>
          <w:sz w:val="20"/>
          <w:szCs w:val="20"/>
        </w:rPr>
        <w:t xml:space="preserve"> favorability in comparison to the other options listed here. Additionally, the VDS </w:t>
      </w:r>
      <w:proofErr w:type="gramStart"/>
      <w:r>
        <w:rPr>
          <w:rFonts w:ascii="Aptos" w:hAnsi="Aptos"/>
          <w:sz w:val="20"/>
          <w:szCs w:val="20"/>
        </w:rPr>
        <w:t>build-process</w:t>
      </w:r>
      <w:proofErr w:type="gramEnd"/>
      <w:r>
        <w:rPr>
          <w:rFonts w:ascii="Aptos" w:hAnsi="Aptos"/>
          <w:sz w:val="20"/>
          <w:szCs w:val="20"/>
        </w:rPr>
        <w:t xml:space="preserve"> is likely to be complex, incurring a bigger </w:t>
      </w:r>
      <w:proofErr w:type="gramStart"/>
      <w:r>
        <w:rPr>
          <w:rFonts w:ascii="Aptos" w:hAnsi="Aptos"/>
          <w:sz w:val="20"/>
          <w:szCs w:val="20"/>
        </w:rPr>
        <w:t>time-penalty</w:t>
      </w:r>
      <w:proofErr w:type="gramEnd"/>
      <w:r>
        <w:rPr>
          <w:rFonts w:ascii="Aptos" w:hAnsi="Aptos"/>
          <w:sz w:val="20"/>
          <w:szCs w:val="20"/>
        </w:rPr>
        <w:t xml:space="preserve"> than other options. At the point in time when VDS Lite has proven its capabilities and capacities to fully support CPFR</w:t>
      </w:r>
      <w:r w:rsidR="00A01745">
        <w:rPr>
          <w:rFonts w:ascii="Aptos" w:hAnsi="Aptos"/>
          <w:sz w:val="20"/>
          <w:szCs w:val="20"/>
        </w:rPr>
        <w:t>’s full vendor cohort, then it should be reconsidered. Until that time, CPFR solutions should not be timeline-dependent upon VDS Lite.</w:t>
      </w:r>
    </w:p>
    <w:sectPr w:rsidR="00525E4C" w:rsidRPr="00525E4C" w:rsidSect="00737FC7">
      <w:headerReference w:type="default" r:id="rId8"/>
      <w:footerReference w:type="default" r:id="rId9"/>
      <w:pgSz w:w="15840" w:h="12240" w:orient="landscape"/>
      <w:pgMar w:top="720" w:right="720" w:bottom="90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4AC2F8" w14:textId="77777777" w:rsidR="00602B31" w:rsidRDefault="00602B31" w:rsidP="00100AFF">
      <w:pPr>
        <w:spacing w:after="0" w:line="240" w:lineRule="auto"/>
      </w:pPr>
      <w:r>
        <w:separator/>
      </w:r>
    </w:p>
  </w:endnote>
  <w:endnote w:type="continuationSeparator" w:id="0">
    <w:p w14:paraId="78FAB88C" w14:textId="77777777" w:rsidR="00602B31" w:rsidRDefault="00602B31" w:rsidP="00100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297AAB76-F7B4-4963-B8AB-0B50D7F4C230}"/>
    <w:embedBold r:id="rId2" w:fontKey="{62A393CE-8D8D-4843-A600-6D6760D6F4B2}"/>
    <w:embedItalic r:id="rId3" w:fontKey="{F786D9EB-3CD7-48F5-AE52-0115DC49BBAE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839B8E3E-5A6C-4A29-AC59-0F4FC0EAF502}"/>
  </w:font>
  <w:font w:name="Aptos Narrow">
    <w:charset w:val="00"/>
    <w:family w:val="swiss"/>
    <w:pitch w:val="variable"/>
    <w:sig w:usb0="20000287" w:usb1="00000003" w:usb2="00000000" w:usb3="00000000" w:csb0="0000019F" w:csb1="00000000"/>
    <w:embedRegular r:id="rId5" w:fontKey="{5A0197AC-85B6-41DE-8197-5FB5987C9CC6}"/>
    <w:embedBold r:id="rId6" w:fontKey="{00A6AB8E-9FAE-4458-B964-AB9368BA9E21}"/>
    <w:embedItalic r:id="rId7" w:fontKey="{B26AF6DD-EDA9-4427-9108-20A06CFEECBD}"/>
    <w:embedBoldItalic r:id="rId8" w:fontKey="{60A348FB-ADA8-461D-B1A8-1758CDC57E15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3E29B3" w14:textId="464037DC" w:rsidR="00100AFF" w:rsidRDefault="009F7627" w:rsidP="009138B6">
    <w:pPr>
      <w:pStyle w:val="Footer"/>
      <w:tabs>
        <w:tab w:val="clear" w:pos="4680"/>
        <w:tab w:val="clear" w:pos="9360"/>
        <w:tab w:val="center" w:pos="7200"/>
        <w:tab w:val="right" w:pos="14310"/>
      </w:tabs>
    </w:pPr>
    <w:r w:rsidRPr="00DB7653">
      <w:rPr>
        <w:noProof/>
        <w:sz w:val="20"/>
        <w:szCs w:val="20"/>
      </w:rPr>
      <w:drawing>
        <wp:anchor distT="0" distB="0" distL="114300" distR="114300" simplePos="0" relativeHeight="251662336" behindDoc="0" locked="0" layoutInCell="1" allowOverlap="1" wp14:anchorId="13782E10" wp14:editId="6488D814">
          <wp:simplePos x="0" y="0"/>
          <wp:positionH relativeFrom="margin">
            <wp:align>center</wp:align>
          </wp:positionH>
          <wp:positionV relativeFrom="paragraph">
            <wp:posOffset>-34925</wp:posOffset>
          </wp:positionV>
          <wp:extent cx="873760" cy="274320"/>
          <wp:effectExtent l="0" t="0" r="2540" b="0"/>
          <wp:wrapNone/>
          <wp:docPr id="950205352" name="Picture 1" descr="A blue text on a black background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678890" name="Picture 1" descr="A blue text on a black background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3760" cy="274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DB7653">
      <w:rPr>
        <w:sz w:val="20"/>
        <w:szCs w:val="20"/>
      </w:rPr>
      <w:t>CPFR</w:t>
    </w:r>
    <w:r w:rsidR="00344718">
      <w:rPr>
        <w:sz w:val="20"/>
        <w:szCs w:val="20"/>
      </w:rPr>
      <w:t xml:space="preserve"> </w:t>
    </w:r>
    <w:r w:rsidR="00CB4D8D">
      <w:rPr>
        <w:sz w:val="20"/>
        <w:szCs w:val="20"/>
      </w:rPr>
      <w:t xml:space="preserve">v VDS </w:t>
    </w:r>
    <w:r w:rsidR="000E0F53">
      <w:rPr>
        <w:sz w:val="20"/>
        <w:szCs w:val="20"/>
      </w:rPr>
      <w:t>v CPH</w:t>
    </w:r>
    <w:r w:rsidRPr="00DB7653">
      <w:rPr>
        <w:sz w:val="20"/>
        <w:szCs w:val="20"/>
      </w:rPr>
      <w:tab/>
    </w:r>
    <w:r w:rsidR="00DB7653">
      <w:rPr>
        <w:sz w:val="20"/>
        <w:szCs w:val="20"/>
      </w:rPr>
      <w:tab/>
    </w:r>
    <w:r w:rsidRPr="00DB7653">
      <w:rPr>
        <w:sz w:val="20"/>
        <w:szCs w:val="20"/>
      </w:rPr>
      <w:t>2025-0</w:t>
    </w:r>
    <w:r w:rsidR="00CB4D8D">
      <w:rPr>
        <w:sz w:val="20"/>
        <w:szCs w:val="20"/>
      </w:rPr>
      <w:t>8</w:t>
    </w:r>
    <w:r w:rsidRPr="00DB7653">
      <w:rPr>
        <w:sz w:val="20"/>
        <w:szCs w:val="20"/>
      </w:rPr>
      <w:t>-</w:t>
    </w:r>
    <w:r w:rsidR="000E0F53">
      <w:rPr>
        <w:sz w:val="20"/>
        <w:szCs w:val="20"/>
      </w:rPr>
      <w:t>27</w:t>
    </w:r>
    <w:r w:rsidR="00344718">
      <w:rPr>
        <w:sz w:val="20"/>
        <w:szCs w:val="20"/>
      </w:rPr>
      <w:t>,</w:t>
    </w:r>
    <w:r w:rsidRPr="00DB7653">
      <w:rPr>
        <w:sz w:val="20"/>
        <w:szCs w:val="20"/>
      </w:rPr>
      <w:t xml:space="preserve"> nmiles1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E06FC5" w14:textId="77777777" w:rsidR="00602B31" w:rsidRDefault="00602B31" w:rsidP="00100AFF">
      <w:pPr>
        <w:spacing w:after="0" w:line="240" w:lineRule="auto"/>
      </w:pPr>
      <w:r>
        <w:separator/>
      </w:r>
    </w:p>
  </w:footnote>
  <w:footnote w:type="continuationSeparator" w:id="0">
    <w:p w14:paraId="0182F46F" w14:textId="77777777" w:rsidR="00602B31" w:rsidRDefault="00602B31" w:rsidP="00100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F2A248" w14:textId="6C2FF00B" w:rsidR="00CB4D8D" w:rsidRPr="007C331F" w:rsidRDefault="00946454" w:rsidP="00F9531E">
    <w:pPr>
      <w:pBdr>
        <w:bottom w:val="single" w:sz="4" w:space="1" w:color="auto"/>
      </w:pBdr>
      <w:spacing w:after="0" w:line="264" w:lineRule="auto"/>
      <w:rPr>
        <w:b/>
        <w:bCs/>
        <w:sz w:val="32"/>
        <w:szCs w:val="32"/>
      </w:rPr>
    </w:pPr>
    <w:r>
      <w:rPr>
        <w:b/>
        <w:bCs/>
        <w:sz w:val="32"/>
        <w:szCs w:val="32"/>
      </w:rPr>
      <w:t>Comparison of Vendor-facing Collaborative Data-Shares</w:t>
    </w:r>
    <w:r w:rsidR="000E6806">
      <w:rPr>
        <w:b/>
        <w:bCs/>
        <w:sz w:val="32"/>
        <w:szCs w:val="32"/>
      </w:rPr>
      <w:t xml:space="preserve"> for CPFR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525DA"/>
    <w:multiLevelType w:val="hybridMultilevel"/>
    <w:tmpl w:val="D37E3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D254F"/>
    <w:multiLevelType w:val="hybridMultilevel"/>
    <w:tmpl w:val="05AE4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13A31"/>
    <w:multiLevelType w:val="hybridMultilevel"/>
    <w:tmpl w:val="33469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262315"/>
    <w:multiLevelType w:val="hybridMultilevel"/>
    <w:tmpl w:val="197AC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D7077"/>
    <w:multiLevelType w:val="hybridMultilevel"/>
    <w:tmpl w:val="BA943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57A"/>
    <w:multiLevelType w:val="hybridMultilevel"/>
    <w:tmpl w:val="43C6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C9358B"/>
    <w:multiLevelType w:val="hybridMultilevel"/>
    <w:tmpl w:val="D37E3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77723"/>
    <w:multiLevelType w:val="hybridMultilevel"/>
    <w:tmpl w:val="71483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4A09CB"/>
    <w:multiLevelType w:val="hybridMultilevel"/>
    <w:tmpl w:val="DFCE9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223712"/>
    <w:multiLevelType w:val="hybridMultilevel"/>
    <w:tmpl w:val="77E065C2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3B073FE0"/>
    <w:multiLevelType w:val="hybridMultilevel"/>
    <w:tmpl w:val="ECCE5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C2E54"/>
    <w:multiLevelType w:val="hybridMultilevel"/>
    <w:tmpl w:val="01A8C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8D3C34"/>
    <w:multiLevelType w:val="hybridMultilevel"/>
    <w:tmpl w:val="88DA8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D139A"/>
    <w:multiLevelType w:val="hybridMultilevel"/>
    <w:tmpl w:val="3DF8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367D72"/>
    <w:multiLevelType w:val="hybridMultilevel"/>
    <w:tmpl w:val="ACF0F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4659E"/>
    <w:multiLevelType w:val="hybridMultilevel"/>
    <w:tmpl w:val="6FB02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856C37"/>
    <w:multiLevelType w:val="hybridMultilevel"/>
    <w:tmpl w:val="B5AC3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FF0D4A"/>
    <w:multiLevelType w:val="hybridMultilevel"/>
    <w:tmpl w:val="05FAA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3B6520"/>
    <w:multiLevelType w:val="hybridMultilevel"/>
    <w:tmpl w:val="6CE4C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2287E"/>
    <w:multiLevelType w:val="hybridMultilevel"/>
    <w:tmpl w:val="D37E3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961F6"/>
    <w:multiLevelType w:val="hybridMultilevel"/>
    <w:tmpl w:val="E4566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CF1C53"/>
    <w:multiLevelType w:val="hybridMultilevel"/>
    <w:tmpl w:val="9BCA4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6E6452"/>
    <w:multiLevelType w:val="hybridMultilevel"/>
    <w:tmpl w:val="F7E26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873E76"/>
    <w:multiLevelType w:val="hybridMultilevel"/>
    <w:tmpl w:val="ED78C3F8"/>
    <w:lvl w:ilvl="0" w:tplc="AB8CA5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FA51B6"/>
    <w:multiLevelType w:val="hybridMultilevel"/>
    <w:tmpl w:val="D4A2F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430D3"/>
    <w:multiLevelType w:val="hybridMultilevel"/>
    <w:tmpl w:val="808E5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2644E3"/>
    <w:multiLevelType w:val="hybridMultilevel"/>
    <w:tmpl w:val="16BA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862E33"/>
    <w:multiLevelType w:val="hybridMultilevel"/>
    <w:tmpl w:val="4702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DF2689"/>
    <w:multiLevelType w:val="hybridMultilevel"/>
    <w:tmpl w:val="0896B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B04AEC"/>
    <w:multiLevelType w:val="hybridMultilevel"/>
    <w:tmpl w:val="F4D68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8516870">
    <w:abstractNumId w:val="4"/>
  </w:num>
  <w:num w:numId="2" w16cid:durableId="197741094">
    <w:abstractNumId w:val="22"/>
  </w:num>
  <w:num w:numId="3" w16cid:durableId="2088575640">
    <w:abstractNumId w:val="18"/>
  </w:num>
  <w:num w:numId="4" w16cid:durableId="2022007468">
    <w:abstractNumId w:val="8"/>
  </w:num>
  <w:num w:numId="5" w16cid:durableId="624702745">
    <w:abstractNumId w:val="12"/>
  </w:num>
  <w:num w:numId="6" w16cid:durableId="155540045">
    <w:abstractNumId w:val="1"/>
  </w:num>
  <w:num w:numId="7" w16cid:durableId="1540242818">
    <w:abstractNumId w:val="26"/>
  </w:num>
  <w:num w:numId="8" w16cid:durableId="620842645">
    <w:abstractNumId w:val="21"/>
  </w:num>
  <w:num w:numId="9" w16cid:durableId="1549956572">
    <w:abstractNumId w:val="13"/>
  </w:num>
  <w:num w:numId="10" w16cid:durableId="1349991987">
    <w:abstractNumId w:val="28"/>
  </w:num>
  <w:num w:numId="11" w16cid:durableId="273560685">
    <w:abstractNumId w:val="29"/>
  </w:num>
  <w:num w:numId="12" w16cid:durableId="1032342408">
    <w:abstractNumId w:val="27"/>
  </w:num>
  <w:num w:numId="13" w16cid:durableId="1693263376">
    <w:abstractNumId w:val="6"/>
  </w:num>
  <w:num w:numId="14" w16cid:durableId="810093138">
    <w:abstractNumId w:val="2"/>
  </w:num>
  <w:num w:numId="15" w16cid:durableId="1741098214">
    <w:abstractNumId w:val="25"/>
  </w:num>
  <w:num w:numId="16" w16cid:durableId="1229922938">
    <w:abstractNumId w:val="16"/>
  </w:num>
  <w:num w:numId="17" w16cid:durableId="690179108">
    <w:abstractNumId w:val="11"/>
  </w:num>
  <w:num w:numId="18" w16cid:durableId="1158424575">
    <w:abstractNumId w:val="3"/>
  </w:num>
  <w:num w:numId="19" w16cid:durableId="711922965">
    <w:abstractNumId w:val="19"/>
  </w:num>
  <w:num w:numId="20" w16cid:durableId="1312754189">
    <w:abstractNumId w:val="0"/>
  </w:num>
  <w:num w:numId="21" w16cid:durableId="301350309">
    <w:abstractNumId w:val="5"/>
  </w:num>
  <w:num w:numId="22" w16cid:durableId="1772627597">
    <w:abstractNumId w:val="10"/>
  </w:num>
  <w:num w:numId="23" w16cid:durableId="1264457684">
    <w:abstractNumId w:val="15"/>
  </w:num>
  <w:num w:numId="24" w16cid:durableId="618150030">
    <w:abstractNumId w:val="24"/>
  </w:num>
  <w:num w:numId="25" w16cid:durableId="1543710856">
    <w:abstractNumId w:val="9"/>
  </w:num>
  <w:num w:numId="26" w16cid:durableId="1441947413">
    <w:abstractNumId w:val="23"/>
  </w:num>
  <w:num w:numId="27" w16cid:durableId="663624436">
    <w:abstractNumId w:val="14"/>
  </w:num>
  <w:num w:numId="28" w16cid:durableId="1121268371">
    <w:abstractNumId w:val="20"/>
  </w:num>
  <w:num w:numId="29" w16cid:durableId="1556770954">
    <w:abstractNumId w:val="7"/>
  </w:num>
  <w:num w:numId="30" w16cid:durableId="9882841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602"/>
    <w:rsid w:val="00010005"/>
    <w:rsid w:val="00031913"/>
    <w:rsid w:val="000652E8"/>
    <w:rsid w:val="00083901"/>
    <w:rsid w:val="00087C5D"/>
    <w:rsid w:val="000B3723"/>
    <w:rsid w:val="000B4463"/>
    <w:rsid w:val="000E0F53"/>
    <w:rsid w:val="000E6806"/>
    <w:rsid w:val="00100AFF"/>
    <w:rsid w:val="00126C08"/>
    <w:rsid w:val="00137F1A"/>
    <w:rsid w:val="00141C20"/>
    <w:rsid w:val="00157602"/>
    <w:rsid w:val="00194CFE"/>
    <w:rsid w:val="001B19E3"/>
    <w:rsid w:val="00224B12"/>
    <w:rsid w:val="002328DB"/>
    <w:rsid w:val="00243839"/>
    <w:rsid w:val="00244DDE"/>
    <w:rsid w:val="00246843"/>
    <w:rsid w:val="00280332"/>
    <w:rsid w:val="00282AA9"/>
    <w:rsid w:val="00291BB9"/>
    <w:rsid w:val="0029388A"/>
    <w:rsid w:val="002D4E32"/>
    <w:rsid w:val="002D536A"/>
    <w:rsid w:val="00312EC4"/>
    <w:rsid w:val="003306FC"/>
    <w:rsid w:val="00344718"/>
    <w:rsid w:val="003460A7"/>
    <w:rsid w:val="00385AE9"/>
    <w:rsid w:val="003F2D5A"/>
    <w:rsid w:val="00445CFF"/>
    <w:rsid w:val="00452DD1"/>
    <w:rsid w:val="00455B19"/>
    <w:rsid w:val="00461902"/>
    <w:rsid w:val="0047279C"/>
    <w:rsid w:val="004B339C"/>
    <w:rsid w:val="004B57A3"/>
    <w:rsid w:val="00506730"/>
    <w:rsid w:val="00521237"/>
    <w:rsid w:val="00525E4C"/>
    <w:rsid w:val="00562D61"/>
    <w:rsid w:val="005720B7"/>
    <w:rsid w:val="00582EEC"/>
    <w:rsid w:val="00586BF1"/>
    <w:rsid w:val="005B0CFD"/>
    <w:rsid w:val="005C70BB"/>
    <w:rsid w:val="00602B31"/>
    <w:rsid w:val="00624458"/>
    <w:rsid w:val="00630EEB"/>
    <w:rsid w:val="006C4488"/>
    <w:rsid w:val="007133A5"/>
    <w:rsid w:val="00737FC7"/>
    <w:rsid w:val="0076149B"/>
    <w:rsid w:val="00781A8F"/>
    <w:rsid w:val="007877AD"/>
    <w:rsid w:val="007A1892"/>
    <w:rsid w:val="007A7BD2"/>
    <w:rsid w:val="007C331F"/>
    <w:rsid w:val="0081610A"/>
    <w:rsid w:val="00887524"/>
    <w:rsid w:val="008E514D"/>
    <w:rsid w:val="009138B6"/>
    <w:rsid w:val="00946454"/>
    <w:rsid w:val="0099175C"/>
    <w:rsid w:val="00997A71"/>
    <w:rsid w:val="009A4623"/>
    <w:rsid w:val="009A6681"/>
    <w:rsid w:val="009B224A"/>
    <w:rsid w:val="009D78AF"/>
    <w:rsid w:val="009F0A8A"/>
    <w:rsid w:val="009F3E52"/>
    <w:rsid w:val="009F7627"/>
    <w:rsid w:val="00A01745"/>
    <w:rsid w:val="00A073CC"/>
    <w:rsid w:val="00A92200"/>
    <w:rsid w:val="00AA3A39"/>
    <w:rsid w:val="00AB4695"/>
    <w:rsid w:val="00AC2404"/>
    <w:rsid w:val="00AF2BBE"/>
    <w:rsid w:val="00AF738A"/>
    <w:rsid w:val="00B11033"/>
    <w:rsid w:val="00B149B5"/>
    <w:rsid w:val="00B3165B"/>
    <w:rsid w:val="00C55901"/>
    <w:rsid w:val="00C87236"/>
    <w:rsid w:val="00C94DBE"/>
    <w:rsid w:val="00CB4D8D"/>
    <w:rsid w:val="00CC27F2"/>
    <w:rsid w:val="00CD2E14"/>
    <w:rsid w:val="00CE4E1A"/>
    <w:rsid w:val="00D120D8"/>
    <w:rsid w:val="00D2571F"/>
    <w:rsid w:val="00D343FD"/>
    <w:rsid w:val="00D542F7"/>
    <w:rsid w:val="00DA3511"/>
    <w:rsid w:val="00DB7653"/>
    <w:rsid w:val="00DD7488"/>
    <w:rsid w:val="00DD74A1"/>
    <w:rsid w:val="00E86F36"/>
    <w:rsid w:val="00E9172B"/>
    <w:rsid w:val="00EA062E"/>
    <w:rsid w:val="00EA6146"/>
    <w:rsid w:val="00EB5E21"/>
    <w:rsid w:val="00EC1B35"/>
    <w:rsid w:val="00ED0569"/>
    <w:rsid w:val="00F91F7F"/>
    <w:rsid w:val="00F9531E"/>
    <w:rsid w:val="00FB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0C12D1"/>
  <w15:chartTrackingRefBased/>
  <w15:docId w15:val="{50FFABE1-A4FC-4B33-8945-38485A1FA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6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6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6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6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6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6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6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6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6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6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6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6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6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6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6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6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6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6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6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6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6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6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6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6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6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6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6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6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6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0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AFF"/>
  </w:style>
  <w:style w:type="paragraph" w:styleId="Footer">
    <w:name w:val="footer"/>
    <w:basedOn w:val="Normal"/>
    <w:link w:val="FooterChar"/>
    <w:uiPriority w:val="99"/>
    <w:unhideWhenUsed/>
    <w:rsid w:val="00100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8" Type="http://schemas.openxmlformats.org/officeDocument/2006/relationships/font" Target="fonts/font8.odttf"/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FFB48C-C91F-496F-B149-74427D18742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99879b8e-3b16-427d-902a-05eda342f629}" enabled="0" method="" siteId="{99879b8e-3b16-427d-902a-05eda342f629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1304</Words>
  <Characters>7437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Miles</dc:creator>
  <cp:keywords/>
  <dc:description/>
  <cp:lastModifiedBy>Nathan Miles</cp:lastModifiedBy>
  <cp:revision>3</cp:revision>
  <cp:lastPrinted>2025-08-14T20:22:00Z</cp:lastPrinted>
  <dcterms:created xsi:type="dcterms:W3CDTF">2025-08-27T07:05:00Z</dcterms:created>
  <dcterms:modified xsi:type="dcterms:W3CDTF">2025-08-27T11:11:00Z</dcterms:modified>
</cp:coreProperties>
</file>