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page" w:horzAnchor="margin" w:tblpY="2368"/>
        <w:tblW w:w="14480" w:type="dxa"/>
        <w:tblLook w:val="04A0" w:firstRow="1" w:lastRow="0" w:firstColumn="1" w:lastColumn="0" w:noHBand="0" w:noVBand="1"/>
      </w:tblPr>
      <w:tblGrid>
        <w:gridCol w:w="1637"/>
        <w:gridCol w:w="3033"/>
        <w:gridCol w:w="3510"/>
        <w:gridCol w:w="3330"/>
        <w:gridCol w:w="2970"/>
      </w:tblGrid>
      <w:tr w:rsidR="009138B6" w:rsidRPr="000E0F53" w14:paraId="3FCAF91D" w14:textId="77777777" w:rsidTr="00B11033">
        <w:trPr>
          <w:trHeight w:val="259"/>
        </w:trPr>
        <w:tc>
          <w:tcPr>
            <w:tcW w:w="1637" w:type="dxa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0070C0"/>
            <w:noWrap/>
            <w:hideMark/>
          </w:tcPr>
          <w:p w14:paraId="706BB219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6E9C6A1B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CPFR</w:t>
            </w:r>
          </w:p>
        </w:tc>
        <w:tc>
          <w:tcPr>
            <w:tcW w:w="351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019F85EC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VDS Premium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5FE168CD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VDS Direct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0070C0"/>
            <w:noWrap/>
            <w:hideMark/>
          </w:tcPr>
          <w:p w14:paraId="657E77E8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CPH</w:t>
            </w:r>
          </w:p>
        </w:tc>
      </w:tr>
      <w:tr w:rsidR="009138B6" w:rsidRPr="000E0F53" w14:paraId="03C8AE0C" w14:textId="77777777" w:rsidTr="00B11033">
        <w:trPr>
          <w:trHeight w:val="778"/>
        </w:trPr>
        <w:tc>
          <w:tcPr>
            <w:tcW w:w="1637" w:type="dxa"/>
            <w:tcBorders>
              <w:top w:val="single" w:sz="8" w:space="0" w:color="0070C0"/>
              <w:left w:val="single" w:sz="8" w:space="0" w:color="0070C0"/>
              <w:bottom w:val="nil"/>
              <w:right w:val="single" w:sz="8" w:space="0" w:color="0070C0"/>
            </w:tcBorders>
            <w:hideMark/>
          </w:tcPr>
          <w:p w14:paraId="68C3B4B6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Purpose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36F88887" w14:textId="77777777" w:rsidR="000E0F53" w:rsidRPr="000E0F53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Provides fundamental data used by vendors and ISMs for Inventory and order planning</w:t>
            </w:r>
          </w:p>
        </w:tc>
        <w:tc>
          <w:tcPr>
            <w:tcW w:w="351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779A77C9" w14:textId="643F5FAC" w:rsidR="000E0F53" w:rsidRPr="000E0F53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Provide a broader set of data to facilitate insights and deep </w:t>
            </w:r>
            <w:r w:rsidR="009138B6"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analysis of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supply, operations, and performance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7BF24490" w14:textId="08CE1C12" w:rsidR="000E0F53" w:rsidRPr="000E0F53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Provides highly granular</w:t>
            </w:r>
            <w:r w:rsidR="00737FC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and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customizable data feeds </w:t>
            </w:r>
            <w:r w:rsidR="00737FC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that directly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integrate</w:t>
            </w:r>
            <w:r w:rsidR="00737FC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with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vendor systems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183D53E8" w14:textId="39A8CCCA" w:rsidR="000E0F53" w:rsidRPr="000E0F53" w:rsidRDefault="000E0F53" w:rsidP="00B11033">
            <w:pPr>
              <w:spacing w:after="0" w:line="240" w:lineRule="auto"/>
              <w:ind w:leftChars="56" w:left="134" w:firstLineChars="1" w:firstLine="2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Aggregates Services from across Chewy</w:t>
            </w:r>
            <w:r w:rsidR="009138B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provid</w:t>
            </w:r>
            <w:r w:rsidR="009138B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ing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 single point of </w:t>
            </w:r>
            <w:r w:rsidR="009138B6"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access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 vendors</w:t>
            </w:r>
          </w:p>
        </w:tc>
      </w:tr>
      <w:tr w:rsidR="009138B6" w:rsidRPr="000E0F53" w14:paraId="32BB48B4" w14:textId="77777777" w:rsidTr="00B11033">
        <w:trPr>
          <w:trHeight w:val="259"/>
        </w:trPr>
        <w:tc>
          <w:tcPr>
            <w:tcW w:w="1637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44C9AFC4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Share Method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0868CEE5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Emailed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37D5CEC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Dashboard (Tableau Server)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2069985C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API access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0E06B786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Custom portal</w:t>
            </w:r>
          </w:p>
        </w:tc>
      </w:tr>
      <w:tr w:rsidR="009138B6" w:rsidRPr="000E0F53" w14:paraId="1E74A296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55E0DDA2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Level of Granularity</w:t>
            </w:r>
          </w:p>
        </w:tc>
        <w:tc>
          <w:tcPr>
            <w:tcW w:w="3033" w:type="dxa"/>
            <w:vMerge w:val="restart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noWrap/>
            <w:hideMark/>
          </w:tcPr>
          <w:p w14:paraId="2EA36B3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SKU/weekly</w:t>
            </w:r>
          </w:p>
        </w:tc>
        <w:tc>
          <w:tcPr>
            <w:tcW w:w="3510" w:type="dxa"/>
            <w:vMerge w:val="restart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4E53FA63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SKU/daily; SKU/weekly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nil"/>
              <w:right w:val="nil"/>
            </w:tcBorders>
            <w:noWrap/>
            <w:hideMark/>
          </w:tcPr>
          <w:p w14:paraId="06B97BAA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SKU/daily; SKU/weekly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14C9D81E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TBD</w:t>
            </w:r>
          </w:p>
        </w:tc>
      </w:tr>
      <w:tr w:rsidR="009138B6" w:rsidRPr="000E0F53" w14:paraId="7663EBC2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B8E03FE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vAlign w:val="center"/>
            <w:hideMark/>
          </w:tcPr>
          <w:p w14:paraId="123C2D9F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510" w:type="dxa"/>
            <w:vMerge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vAlign w:val="center"/>
            <w:hideMark/>
          </w:tcPr>
          <w:p w14:paraId="29AEFA77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38CB6892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   (depending on subscription)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6E776B7F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0E0F53" w14:paraId="6440463D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2585ECB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Principle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339928C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Weekly 'snapshot' data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2B7E7FE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On-demand access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44BBAAA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On-demand access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5844D8DC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On-demand access</w:t>
            </w:r>
          </w:p>
        </w:tc>
      </w:tr>
      <w:tr w:rsidR="009138B6" w:rsidRPr="000E0F53" w14:paraId="4F886508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0D37598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Characteristics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B52FD1F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"Tactical" data-scope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9C54AE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"Strategic" data-scope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0D6718F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Weekly or daily refreshes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3DCF29EE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  Customizable views</w:t>
            </w:r>
          </w:p>
        </w:tc>
      </w:tr>
      <w:tr w:rsidR="009138B6" w:rsidRPr="000E0F53" w14:paraId="37A63102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3E98B37B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32A4BC8" w14:textId="45A00F82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="00A01745"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Principal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performance metrics</w:t>
            </w:r>
          </w:p>
        </w:tc>
        <w:tc>
          <w:tcPr>
            <w:tcW w:w="351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8A9DFD2" w14:textId="47EAF170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Weekly or </w:t>
            </w:r>
            <w:r w:rsidR="00A01745"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daily refreshed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depending on type and source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7FC3C8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"Exploratory" data-scope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2ABE613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    and data content</w:t>
            </w:r>
          </w:p>
        </w:tc>
      </w:tr>
      <w:tr w:rsidR="009138B6" w:rsidRPr="000E0F53" w14:paraId="46A66A91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DB2E5DA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328CB03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Tiered subsets of data</w:t>
            </w:r>
          </w:p>
        </w:tc>
        <w:tc>
          <w:tcPr>
            <w:tcW w:w="351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0124CE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9EDD032" w14:textId="77777777" w:rsidR="000E0F53" w:rsidRPr="000E0F53" w:rsidRDefault="000E0F53" w:rsidP="00B11033">
            <w:pPr>
              <w:spacing w:after="0" w:line="240" w:lineRule="auto"/>
              <w:ind w:leftChars="38" w:left="241" w:hangingChars="68" w:hanging="15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2"/>
                <w:szCs w:val="22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Permits complex queries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358F471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0E0F53" w14:paraId="2C164621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9531C82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4798D4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Fixed aggregation levels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462DC5EB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Limited ability to 'drill-down' into data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650E9C24" w14:textId="4E90060D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737FC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Direct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vendor system</w:t>
            </w:r>
            <w:r w:rsidR="00737FC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integration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7C88EDC3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0E0F53" w14:paraId="082604CB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121B9547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Data-Shared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473A714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Forecast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96CC4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Autoship Analysis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6E7437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[Daily &amp; Weekly]: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126D5A1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E97132"/>
                <w:kern w:val="0"/>
                <w:sz w:val="20"/>
                <w:szCs w:val="20"/>
                <w14:ligatures w14:val="none"/>
              </w:rPr>
              <w:t>Same as CPFR</w:t>
            </w:r>
          </w:p>
        </w:tc>
      </w:tr>
      <w:tr w:rsidR="009138B6" w:rsidRPr="000E0F53" w14:paraId="0D2D88B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5928A75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D67282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Autoship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F3D46C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Inventory &amp; Forecast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28FBF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Sales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2A580110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0E0F53" w14:paraId="17C25B7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6E2E6BE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BAD014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Inventory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CD6CE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Location Out of Stock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D89BE2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Autoship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35E11A7F" w14:textId="2AB0D913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CPH Provides a portal</w:t>
            </w:r>
            <w:r w:rsidR="002D4E32" w:rsidRPr="002D4E3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—</w:t>
            </w:r>
          </w:p>
        </w:tc>
      </w:tr>
      <w:tr w:rsidR="009138B6" w:rsidRPr="000E0F53" w14:paraId="4F056B1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63BE290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6F6B3B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OOS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7183C2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PDP Out of Stock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D894B3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Receipt / Returns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67CD6E1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data pipelines or platform</w:t>
            </w:r>
          </w:p>
        </w:tc>
      </w:tr>
      <w:tr w:rsidR="009138B6" w:rsidRPr="000E0F53" w14:paraId="675DD368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DEAC33A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50486F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Fill Rate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F7A549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Procurement Scorecard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8CCEF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Trial Rate / Review Avg.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BEDA848" w14:textId="48DEFDEA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must be </w:t>
            </w:r>
            <w:r w:rsidR="002D4E32" w:rsidRPr="002D4E32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provid</w:t>
            </w:r>
            <w:r w:rsidRPr="000E0F5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 xml:space="preserve">ed by </w:t>
            </w:r>
          </w:p>
        </w:tc>
      </w:tr>
      <w:tr w:rsidR="009138B6" w:rsidRPr="000E0F53" w14:paraId="1C41D80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584235C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D4D74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DOS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A10420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Customer Experience Insights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28272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ASN &amp; Compliance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4873C463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Business Intelligence or</w:t>
            </w:r>
          </w:p>
        </w:tc>
      </w:tr>
      <w:tr w:rsidR="009138B6" w:rsidRPr="000E0F53" w14:paraId="7DA5CF1C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509DBD0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428EC9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NOP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6C6ECA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Attachment Detail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E316F2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Inventory direct feed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26F41A6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Software Engineers (or both)</w:t>
            </w:r>
          </w:p>
        </w:tc>
      </w:tr>
      <w:tr w:rsidR="009138B6" w:rsidRPr="000E0F53" w14:paraId="461A85C6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5D076260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55EACB" w14:textId="51C52BE5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9138B6" w:rsidRPr="009138B6">
              <w:rPr>
                <w:rFonts w:ascii="Aptos Narrow" w:eastAsia="Times New Roman" w:hAnsi="Aptos Narrow" w:cs="Times New Roman"/>
                <w:color w:val="E97132" w:themeColor="accent2"/>
                <w:kern w:val="0"/>
                <w:sz w:val="20"/>
                <w:szCs w:val="20"/>
                <w14:ligatures w14:val="none"/>
              </w:rPr>
              <w:t>Catalog Details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1D597F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Basket Overview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FF1867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Forecast direct feed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63581B41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0E0F53" w14:paraId="583C0692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028ACBC2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B78840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F2D0A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Competitive Comparison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3A5EA5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84DB595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0E0F53" w14:paraId="4603D4EE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1D4E92E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0250E5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E97132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E97132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CPFR Knowledge Domain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E62A1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Returns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E9D0CF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17FC52DE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0E0F53" w14:paraId="17E36424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C0C96D7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036A8F" w14:textId="77777777" w:rsidR="000E0F53" w:rsidRPr="000E0F53" w:rsidRDefault="000E0F53" w:rsidP="00B11033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  <w14:ligatures w14:val="none"/>
              </w:rPr>
              <w:t>VDS Knowledge Domain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1BA91E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Sales &amp; Geographical Metrics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33D471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F69C625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0E0F53" w14:paraId="06558D0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098585BC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626829CD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11899A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70C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Trial &amp; Repeat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37CA8E81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70C9BC9B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0E0F53" w14:paraId="72606E49" w14:textId="77777777" w:rsidTr="00B11033">
        <w:trPr>
          <w:trHeight w:val="259"/>
        </w:trPr>
        <w:tc>
          <w:tcPr>
            <w:tcW w:w="163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1B10362A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Revenue Model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57FA9CF5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None (Free)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44644995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3% of COGS, $400K max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noWrap/>
            <w:hideMark/>
          </w:tcPr>
          <w:p w14:paraId="5667A627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+ $100K (weekly); +$250K (daily)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615E1BE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TBD (Presumably None/Free)</w:t>
            </w:r>
          </w:p>
        </w:tc>
      </w:tr>
      <w:tr w:rsidR="009138B6" w:rsidRPr="000E0F53" w14:paraId="485B3A89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7873E7C5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Users Served</w:t>
            </w:r>
          </w:p>
        </w:tc>
        <w:tc>
          <w:tcPr>
            <w:tcW w:w="3033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118F5725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≈1,650 FC-inventory vendors</w:t>
            </w:r>
          </w:p>
        </w:tc>
        <w:tc>
          <w:tcPr>
            <w:tcW w:w="3510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430EF38B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65 unique vendors</w:t>
            </w:r>
          </w:p>
        </w:tc>
        <w:tc>
          <w:tcPr>
            <w:tcW w:w="3330" w:type="dxa"/>
            <w:tcBorders>
              <w:top w:val="single" w:sz="8" w:space="0" w:color="0070C0"/>
              <w:left w:val="nil"/>
              <w:bottom w:val="nil"/>
              <w:right w:val="nil"/>
            </w:tcBorders>
            <w:hideMark/>
          </w:tcPr>
          <w:p w14:paraId="2FA1F1D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 unique vendors</w:t>
            </w:r>
          </w:p>
        </w:tc>
        <w:tc>
          <w:tcPr>
            <w:tcW w:w="2970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72C69BF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  ≈1,650 FC-inventory vendors</w:t>
            </w:r>
          </w:p>
        </w:tc>
      </w:tr>
      <w:tr w:rsidR="009138B6" w:rsidRPr="000E0F53" w14:paraId="5D23953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6EE17CE6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B81694E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≈625 Drop-ship vendors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0EB1C8F4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Includes Top 20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576F68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All within Top 10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4FDC9A9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  ≈625 Drop-ship vendors</w:t>
            </w:r>
          </w:p>
        </w:tc>
      </w:tr>
      <w:tr w:rsidR="009138B6" w:rsidRPr="000E0F53" w14:paraId="77ED5930" w14:textId="77777777" w:rsidTr="00B11033">
        <w:trPr>
          <w:trHeight w:val="259"/>
        </w:trPr>
        <w:tc>
          <w:tcPr>
            <w:tcW w:w="1637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3920D45F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Use-Cases</w:t>
            </w: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B80157B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"Plan-of-record" forecasting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BC4E8C6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Root-cause analysis (vendor)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C22CCA6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Complex/granular analysis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E11B22E" w14:textId="33461758" w:rsidR="000E0F53" w:rsidRPr="000E0F53" w:rsidRDefault="009138B6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0E0F53"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Same as CPFR</w:t>
            </w:r>
          </w:p>
        </w:tc>
      </w:tr>
      <w:tr w:rsidR="009138B6" w:rsidRPr="000E0F53" w14:paraId="6B38C5B8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67837567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93BF112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Joint business planning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B9C14A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Sales auditing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3DD1580F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POS 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32C07ED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0E0F53" w14:paraId="31884F5E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C060DA4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0F4638B4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Vendor scorecard reference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3FA0911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EDI issue confirmation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A3A8313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Direct database integration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31C36F0F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9138B6" w:rsidRPr="000E0F53" w14:paraId="7F49FFD9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55599679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68EE8B2D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Tracking inventory health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225E3AC8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Consumer purchase behavior</w:t>
            </w:r>
          </w:p>
        </w:tc>
        <w:tc>
          <w:tcPr>
            <w:tcW w:w="333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401C0AF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249ABA1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9138B6" w:rsidRPr="000E0F53" w14:paraId="7CFA3BAB" w14:textId="77777777" w:rsidTr="00B11033">
        <w:trPr>
          <w:trHeight w:val="259"/>
        </w:trPr>
        <w:tc>
          <w:tcPr>
            <w:tcW w:w="1637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54E92928" w14:textId="77777777" w:rsidR="000E0F53" w:rsidRPr="000E0F53" w:rsidRDefault="000E0F53" w:rsidP="00B110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0FDCD128" w14:textId="48767F3D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="009138B6" w:rsidRPr="009138B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ver/under performance alerts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2550950B" w14:textId="77777777" w:rsidR="000E0F53" w:rsidRPr="000E0F53" w:rsidRDefault="000E0F53" w:rsidP="00B11033">
            <w:pPr>
              <w:spacing w:after="0" w:line="240" w:lineRule="auto"/>
              <w:ind w:leftChars="38" w:left="227" w:hangingChars="68" w:hanging="136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Symbol" w:eastAsia="Times New Roman" w:hAnsi="Symbol" w:cs="Times New Roman"/>
                <w:color w:val="000000"/>
                <w:kern w:val="0"/>
                <w:sz w:val="20"/>
                <w:szCs w:val="20"/>
                <w14:ligatures w14:val="none"/>
              </w:rPr>
              <w:t>·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   </w:t>
            </w: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Competitor analysis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1F72929A" w14:textId="77777777" w:rsidR="000E0F53" w:rsidRPr="000E0F53" w:rsidRDefault="000E0F53" w:rsidP="00B11033">
            <w:pPr>
              <w:spacing w:after="0" w:line="240" w:lineRule="auto"/>
              <w:ind w:firstLineChars="100" w:firstLine="20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096EDBFD" w14:textId="77777777" w:rsidR="000E0F53" w:rsidRPr="000E0F53" w:rsidRDefault="000E0F53" w:rsidP="00B11033">
            <w:pPr>
              <w:spacing w:after="0" w:line="240" w:lineRule="auto"/>
              <w:ind w:firstLineChars="100" w:firstLine="220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E0F5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</w:tbl>
    <w:p w14:paraId="34DFA11B" w14:textId="77777777" w:rsidR="00B11033" w:rsidRPr="000E6806" w:rsidRDefault="00B11033" w:rsidP="00B11033">
      <w:pPr>
        <w:spacing w:after="0" w:line="264" w:lineRule="auto"/>
        <w:rPr>
          <w:sz w:val="12"/>
          <w:szCs w:val="12"/>
        </w:rPr>
      </w:pPr>
    </w:p>
    <w:p w14:paraId="34574CC6" w14:textId="417BDA08" w:rsidR="00B11033" w:rsidRDefault="00B11033" w:rsidP="00B11033">
      <w:pPr>
        <w:spacing w:after="0" w:line="264" w:lineRule="auto"/>
        <w:rPr>
          <w:sz w:val="20"/>
          <w:szCs w:val="20"/>
        </w:rPr>
      </w:pPr>
      <w:r w:rsidRPr="00F9531E">
        <w:rPr>
          <w:sz w:val="20"/>
          <w:szCs w:val="20"/>
        </w:rPr>
        <w:t xml:space="preserve">Chewy's vendor-facing data-shares currently operate through two primary channels: CPFR and VDS. CPFR serves as the foundational data-sharing platform, reaching approximately 70% of Chewy's vendor population through weekly emailed reports containing </w:t>
      </w:r>
      <w:r w:rsidRPr="00E70703">
        <w:rPr>
          <w:sz w:val="20"/>
          <w:szCs w:val="20"/>
          <w:highlight w:val="yellow"/>
          <w:u w:val="single"/>
        </w:rPr>
        <w:t>tactical</w:t>
      </w:r>
      <w:r w:rsidRPr="00F9531E">
        <w:rPr>
          <w:sz w:val="20"/>
          <w:szCs w:val="20"/>
        </w:rPr>
        <w:t xml:space="preserve"> inventory and forecast data. In contrast, VDS operates as a premium, revenue-generating service offering </w:t>
      </w:r>
      <w:r w:rsidRPr="00E70703">
        <w:rPr>
          <w:sz w:val="20"/>
          <w:szCs w:val="20"/>
          <w:highlight w:val="yellow"/>
          <w:u w:val="single"/>
        </w:rPr>
        <w:t>strategic</w:t>
      </w:r>
      <w:r w:rsidRPr="00F9531E">
        <w:rPr>
          <w:sz w:val="20"/>
          <w:szCs w:val="20"/>
        </w:rPr>
        <w:t xml:space="preserve"> insights to a select group of vendors through dashboard and API access.</w:t>
      </w:r>
      <w:r w:rsidR="000E6806">
        <w:rPr>
          <w:sz w:val="20"/>
          <w:szCs w:val="20"/>
        </w:rPr>
        <w:t xml:space="preserve"> </w:t>
      </w:r>
      <w:r w:rsidR="000E6806" w:rsidRPr="00E70703">
        <w:rPr>
          <w:sz w:val="20"/>
          <w:szCs w:val="20"/>
          <w:highlight w:val="yellow"/>
        </w:rPr>
        <w:t>As a new candidate system for data shares, CPH can host vendor access if data pipelines or platforms</w:t>
      </w:r>
      <w:r w:rsidR="004F4685" w:rsidRPr="00E70703">
        <w:rPr>
          <w:sz w:val="20"/>
          <w:szCs w:val="20"/>
          <w:highlight w:val="yellow"/>
        </w:rPr>
        <w:t xml:space="preserve"> (collectively, “services”)</w:t>
      </w:r>
      <w:r w:rsidR="000E6806" w:rsidRPr="00E70703">
        <w:rPr>
          <w:sz w:val="20"/>
          <w:szCs w:val="20"/>
          <w:highlight w:val="yellow"/>
        </w:rPr>
        <w:t xml:space="preserve"> have already been established.</w:t>
      </w:r>
    </w:p>
    <w:p w14:paraId="32F8D12E" w14:textId="77777777" w:rsidR="00506730" w:rsidRDefault="0050673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22BBFF0" w14:textId="77777777" w:rsidR="00506730" w:rsidRPr="00506730" w:rsidRDefault="00506730" w:rsidP="000E6806">
      <w:pPr>
        <w:spacing w:after="0" w:line="264" w:lineRule="auto"/>
        <w:rPr>
          <w:sz w:val="12"/>
          <w:szCs w:val="12"/>
        </w:rPr>
      </w:pPr>
    </w:p>
    <w:p w14:paraId="37BF352C" w14:textId="7279732E" w:rsidR="00506730" w:rsidRPr="00452DD1" w:rsidRDefault="00452DD1" w:rsidP="00506730">
      <w:pPr>
        <w:spacing w:before="120" w:after="0" w:line="264" w:lineRule="auto"/>
        <w:rPr>
          <w:rFonts w:ascii="Aptos" w:hAnsi="Aptos"/>
          <w:b/>
          <w:bCs/>
        </w:rPr>
      </w:pPr>
      <w:r w:rsidRPr="00452DD1">
        <w:rPr>
          <w:rFonts w:ascii="Aptos" w:hAnsi="Aptos"/>
          <w:b/>
          <w:bCs/>
        </w:rPr>
        <w:t xml:space="preserve">APPENDIX 1: </w:t>
      </w:r>
      <w:r w:rsidR="00506730" w:rsidRPr="00452DD1">
        <w:rPr>
          <w:rFonts w:ascii="Aptos" w:hAnsi="Aptos"/>
          <w:b/>
          <w:bCs/>
        </w:rPr>
        <w:t>CPH Implementation</w:t>
      </w:r>
    </w:p>
    <w:p w14:paraId="4DC2C025" w14:textId="77777777" w:rsidR="00506730" w:rsidRDefault="00506730" w:rsidP="000E6806">
      <w:pPr>
        <w:spacing w:after="0" w:line="264" w:lineRule="auto"/>
        <w:rPr>
          <w:sz w:val="20"/>
          <w:szCs w:val="20"/>
        </w:rPr>
      </w:pPr>
    </w:p>
    <w:p w14:paraId="0947C4DA" w14:textId="3C8555C9" w:rsidR="009A6681" w:rsidRDefault="00800FF2" w:rsidP="000E6806">
      <w:pPr>
        <w:spacing w:after="0" w:line="264" w:lineRule="auto"/>
        <w:rPr>
          <w:sz w:val="20"/>
          <w:szCs w:val="20"/>
        </w:rPr>
      </w:pPr>
      <w:r>
        <w:rPr>
          <w:sz w:val="20"/>
          <w:szCs w:val="20"/>
        </w:rPr>
        <w:t xml:space="preserve">To consider CPH as a potential sharing solution for CPFR data, we must first recognize that </w:t>
      </w:r>
      <w:r w:rsidR="000E6806" w:rsidRPr="000E6806">
        <w:rPr>
          <w:sz w:val="20"/>
          <w:szCs w:val="20"/>
        </w:rPr>
        <w:t>CPH functions as a conduit and an aggregator for nearly any kind of service that Chewy wishes to attach to it</w:t>
      </w:r>
      <w:r w:rsidR="00506730">
        <w:rPr>
          <w:sz w:val="20"/>
          <w:szCs w:val="20"/>
        </w:rPr>
        <w:t>, however</w:t>
      </w:r>
      <w:r w:rsidR="000E6806" w:rsidRPr="000E6806">
        <w:rPr>
          <w:sz w:val="20"/>
          <w:szCs w:val="20"/>
        </w:rPr>
        <w:t xml:space="preserve"> it doesn't</w:t>
      </w:r>
      <w:r w:rsidR="00506730">
        <w:rPr>
          <w:sz w:val="20"/>
          <w:szCs w:val="20"/>
        </w:rPr>
        <w:t xml:space="preserve"> automatically</w:t>
      </w:r>
      <w:r w:rsidR="000E6806" w:rsidRPr="000E6806">
        <w:rPr>
          <w:sz w:val="20"/>
          <w:szCs w:val="20"/>
        </w:rPr>
        <w:t xml:space="preserve"> supply </w:t>
      </w:r>
      <w:r w:rsidR="00506730">
        <w:rPr>
          <w:sz w:val="20"/>
          <w:szCs w:val="20"/>
        </w:rPr>
        <w:t>the underlying</w:t>
      </w:r>
      <w:r w:rsidR="000E6806" w:rsidRPr="000E680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r w:rsidR="000E6806" w:rsidRPr="000E6806">
        <w:rPr>
          <w:sz w:val="20"/>
          <w:szCs w:val="20"/>
        </w:rPr>
        <w:t>services.</w:t>
      </w:r>
      <w:r w:rsidR="00506730">
        <w:rPr>
          <w:sz w:val="20"/>
          <w:szCs w:val="20"/>
        </w:rPr>
        <w:t xml:space="preserve"> In CPFR’s case, this means that the </w:t>
      </w:r>
      <w:r w:rsidR="00662F71">
        <w:rPr>
          <w:sz w:val="20"/>
          <w:szCs w:val="20"/>
        </w:rPr>
        <w:t>service</w:t>
      </w:r>
      <w:r w:rsidR="00506730">
        <w:rPr>
          <w:sz w:val="20"/>
          <w:szCs w:val="20"/>
        </w:rPr>
        <w:t xml:space="preserve"> connecting source data to the hub would need to be provided and configured</w:t>
      </w:r>
      <w:r>
        <w:rPr>
          <w:sz w:val="20"/>
          <w:szCs w:val="20"/>
        </w:rPr>
        <w:t xml:space="preserve"> as an additional workstream</w:t>
      </w:r>
      <w:r w:rsidR="00506730">
        <w:rPr>
          <w:sz w:val="20"/>
          <w:szCs w:val="20"/>
        </w:rPr>
        <w:t xml:space="preserve">. This creates two areas of </w:t>
      </w:r>
      <w:r>
        <w:rPr>
          <w:sz w:val="20"/>
          <w:szCs w:val="20"/>
        </w:rPr>
        <w:t>development</w:t>
      </w:r>
      <w:r w:rsidR="00506730">
        <w:rPr>
          <w:sz w:val="20"/>
          <w:szCs w:val="20"/>
        </w:rPr>
        <w:t xml:space="preserve"> that must be coordinated</w:t>
      </w:r>
      <w:r w:rsidR="003306FC">
        <w:rPr>
          <w:sz w:val="20"/>
          <w:szCs w:val="20"/>
        </w:rPr>
        <w:t xml:space="preserve">. The first </w:t>
      </w:r>
      <w:r>
        <w:rPr>
          <w:sz w:val="20"/>
          <w:szCs w:val="20"/>
        </w:rPr>
        <w:t>being</w:t>
      </w:r>
      <w:r w:rsidR="009A6681">
        <w:rPr>
          <w:sz w:val="20"/>
          <w:szCs w:val="20"/>
        </w:rPr>
        <w:t xml:space="preserve"> the CPH hub presence itself, and the second is </w:t>
      </w:r>
      <w:r>
        <w:rPr>
          <w:sz w:val="20"/>
          <w:szCs w:val="20"/>
        </w:rPr>
        <w:t>th</w:t>
      </w:r>
      <w:r w:rsidR="009A6681">
        <w:rPr>
          <w:sz w:val="20"/>
          <w:szCs w:val="20"/>
        </w:rPr>
        <w:t>e data service supplying the hub.</w:t>
      </w:r>
    </w:p>
    <w:p w14:paraId="37D37FF5" w14:textId="77777777" w:rsidR="009A6681" w:rsidRDefault="009A6681" w:rsidP="000E6806">
      <w:pPr>
        <w:spacing w:after="0" w:line="264" w:lineRule="auto"/>
        <w:rPr>
          <w:sz w:val="20"/>
          <w:szCs w:val="20"/>
        </w:rPr>
      </w:pPr>
    </w:p>
    <w:tbl>
      <w:tblPr>
        <w:tblW w:w="14476" w:type="dxa"/>
        <w:tblLook w:val="04A0" w:firstRow="1" w:lastRow="0" w:firstColumn="1" w:lastColumn="0" w:noHBand="0" w:noVBand="1"/>
      </w:tblPr>
      <w:tblGrid>
        <w:gridCol w:w="2380"/>
        <w:gridCol w:w="2880"/>
        <w:gridCol w:w="3168"/>
        <w:gridCol w:w="3024"/>
        <w:gridCol w:w="3024"/>
      </w:tblGrid>
      <w:tr w:rsidR="006C4488" w:rsidRPr="006C4488" w14:paraId="4CD3775B" w14:textId="77777777" w:rsidTr="00452DD1">
        <w:trPr>
          <w:trHeight w:val="300"/>
        </w:trPr>
        <w:tc>
          <w:tcPr>
            <w:tcW w:w="2380" w:type="dxa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0070C0"/>
            <w:noWrap/>
            <w:hideMark/>
          </w:tcPr>
          <w:p w14:paraId="3C9AF18A" w14:textId="77777777" w:rsidR="006C4488" w:rsidRPr="006C4488" w:rsidRDefault="006C4488" w:rsidP="006C4488">
            <w:pPr>
              <w:spacing w:after="0" w:line="240" w:lineRule="auto"/>
              <w:ind w:firstLineChars="100" w:firstLine="201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1F3100BE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CPH Hub + Raw CPFR Queries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35F6490C" w14:textId="27082ADA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 xml:space="preserve">CPH Hub + </w:t>
            </w:r>
            <w:r w:rsidR="004F468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data-service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445D2AE6" w14:textId="248D88C2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 xml:space="preserve">CPH Hub + BI-built </w:t>
            </w:r>
            <w:r w:rsidR="004F468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data-service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0070C0"/>
            <w:noWrap/>
            <w:hideMark/>
          </w:tcPr>
          <w:p w14:paraId="454395B7" w14:textId="35B2E77C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 xml:space="preserve">CPH Hub + SWE/BI </w:t>
            </w:r>
            <w:r w:rsidR="004F4685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data-service</w:t>
            </w:r>
          </w:p>
        </w:tc>
      </w:tr>
      <w:tr w:rsidR="006C4488" w:rsidRPr="006C4488" w14:paraId="595D604E" w14:textId="77777777" w:rsidTr="00662F71">
        <w:trPr>
          <w:trHeight w:val="1037"/>
        </w:trPr>
        <w:tc>
          <w:tcPr>
            <w:tcW w:w="2380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hideMark/>
          </w:tcPr>
          <w:p w14:paraId="6796AAC8" w14:textId="77777777" w:rsidR="006C4488" w:rsidRPr="006C4488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Jobs to be Done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1A22BADC" w14:textId="095E69C0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CPH builds the hub portal, and uses CPFR-supplied queries to pipe </w:t>
            </w:r>
            <w:r w:rsidR="00E1358D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as-is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from Snowflake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41675B98" w14:textId="2F6413FA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CPH</w:t>
            </w:r>
            <w:r w:rsidR="00E1358D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</w:t>
            </w:r>
            <w:r w:rsidR="00A06ED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b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uilds portal, and </w:t>
            </w:r>
            <w:r w:rsidR="00E1358D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also lead data-service development</w:t>
            </w:r>
            <w:r w:rsidR="00D023A9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using Software Engineers (SWEs) working</w:t>
            </w:r>
            <w:r w:rsidR="004F4685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in consultation with CPFR </w:t>
            </w:r>
            <w:r w:rsidR="00D023A9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t</w:t>
            </w:r>
            <w:r w:rsidR="004F4685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eam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hideMark/>
          </w:tcPr>
          <w:p w14:paraId="3531AF9C" w14:textId="024F6079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CPH</w:t>
            </w:r>
            <w:r w:rsidR="00E1358D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builds portal, S</w:t>
            </w:r>
            <w:r w:rsidR="00A06ED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upply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C</w:t>
            </w:r>
            <w:r w:rsidR="00A06ED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hain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Business Intelligence Engineering teams (SC-BIEs)</w:t>
            </w:r>
            <w:r w:rsidR="00E1358D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</w:t>
            </w:r>
            <w:r w:rsidR="00A06ED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build and deliver production-read data-service</w:t>
            </w:r>
            <w:r w:rsidR="00D023A9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in consultation with CPFR team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179866B6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CPH builds</w:t>
            </w:r>
            <w:r w:rsidR="00E1358D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portal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, SC-BIE</w:t>
            </w:r>
            <w:r w:rsidR="00D023A9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+ CPFR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</w:t>
            </w:r>
            <w:r w:rsidR="00A06ED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prototype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data</w:t>
            </w:r>
            <w:r w:rsidR="00A06ED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-service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, </w:t>
            </w:r>
            <w:r w:rsidR="00BD0317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and SWEs work</w:t>
            </w:r>
            <w:r w:rsidR="0077384B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in consultation </w:t>
            </w:r>
            <w:r w:rsidR="00D023A9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with </w:t>
            </w:r>
            <w:r w:rsidR="00BD0317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the above </w:t>
            </w:r>
            <w:r w:rsidR="00D023A9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teams</w:t>
            </w:r>
            <w:r w:rsidR="0077384B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to</w:t>
            </w:r>
            <w:r w:rsidR="00D023A9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integrate</w:t>
            </w:r>
            <w:r w:rsidR="00A06ED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for production</w:t>
            </w:r>
          </w:p>
          <w:p w14:paraId="4E2AC1E5" w14:textId="5B3EC425" w:rsidR="0077384B" w:rsidRPr="00E70703" w:rsidRDefault="0077384B" w:rsidP="006C448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(Recommended)</w:t>
            </w:r>
          </w:p>
        </w:tc>
      </w:tr>
      <w:tr w:rsidR="006C4488" w:rsidRPr="006C4488" w14:paraId="462D1346" w14:textId="77777777" w:rsidTr="00452DD1">
        <w:trPr>
          <w:trHeight w:val="259"/>
        </w:trPr>
        <w:tc>
          <w:tcPr>
            <w:tcW w:w="2380" w:type="dxa"/>
            <w:tcBorders>
              <w:top w:val="nil"/>
              <w:left w:val="single" w:sz="8" w:space="0" w:color="0070C0"/>
              <w:bottom w:val="nil"/>
              <w:right w:val="nil"/>
            </w:tcBorders>
            <w:shd w:val="clear" w:color="000000" w:fill="DAE9F8"/>
            <w:hideMark/>
          </w:tcPr>
          <w:p w14:paraId="6E4482AD" w14:textId="77777777" w:rsidR="006C4488" w:rsidRPr="006C4488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CPFR Team LOE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55607BB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60736587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60AC8A7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to build (work is front-loaded)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6C09BFD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to build (work is front-loaded)</w:t>
            </w:r>
          </w:p>
        </w:tc>
      </w:tr>
      <w:tr w:rsidR="006C4488" w:rsidRPr="006C4488" w14:paraId="2F1067EA" w14:textId="77777777" w:rsidTr="004C2CB8">
        <w:trPr>
          <w:trHeight w:val="259"/>
        </w:trPr>
        <w:tc>
          <w:tcPr>
            <w:tcW w:w="2380" w:type="dxa"/>
            <w:tcBorders>
              <w:top w:val="nil"/>
              <w:left w:val="single" w:sz="8" w:space="0" w:color="0070C0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4A494084" w14:textId="77777777" w:rsidR="006C4488" w:rsidRPr="006C4488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14:ligatures w14:val="none"/>
              </w:rPr>
              <w:t>(Level of effort)</w:t>
            </w:r>
          </w:p>
        </w:tc>
        <w:tc>
          <w:tcPr>
            <w:tcW w:w="288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773CEADB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High to sustain</w:t>
            </w:r>
          </w:p>
        </w:tc>
        <w:tc>
          <w:tcPr>
            <w:tcW w:w="316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770ACAC4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Mid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7411C11A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single" w:sz="8" w:space="0" w:color="0070C0"/>
            </w:tcBorders>
            <w:shd w:val="clear" w:color="000000" w:fill="DAE9F8"/>
            <w:hideMark/>
          </w:tcPr>
          <w:p w14:paraId="682A050B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6C4488" w:rsidRPr="006C4488" w14:paraId="223DFCB8" w14:textId="77777777" w:rsidTr="004C2CB8">
        <w:trPr>
          <w:trHeight w:val="259"/>
        </w:trPr>
        <w:tc>
          <w:tcPr>
            <w:tcW w:w="2380" w:type="dxa"/>
            <w:tcBorders>
              <w:top w:val="dotted" w:sz="4" w:space="0" w:color="auto"/>
              <w:left w:val="single" w:sz="8" w:space="0" w:color="0070C0"/>
              <w:bottom w:val="nil"/>
              <w:right w:val="nil"/>
            </w:tcBorders>
            <w:shd w:val="clear" w:color="000000" w:fill="DAE9F8"/>
            <w:hideMark/>
          </w:tcPr>
          <w:p w14:paraId="236F4B95" w14:textId="77777777" w:rsidR="006C4488" w:rsidRPr="006C4488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CPH Team LOE</w:t>
            </w:r>
          </w:p>
        </w:tc>
        <w:tc>
          <w:tcPr>
            <w:tcW w:w="2880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FB36938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  <w:tc>
          <w:tcPr>
            <w:tcW w:w="3168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20D87E3C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2C6F8510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D50724E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</w:tr>
      <w:tr w:rsidR="006C4488" w:rsidRPr="006C4488" w14:paraId="60E3023F" w14:textId="77777777" w:rsidTr="004C2CB8">
        <w:trPr>
          <w:trHeight w:val="259"/>
        </w:trPr>
        <w:tc>
          <w:tcPr>
            <w:tcW w:w="2380" w:type="dxa"/>
            <w:tcBorders>
              <w:top w:val="nil"/>
              <w:left w:val="single" w:sz="8" w:space="0" w:color="0070C0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3F14E547" w14:textId="77777777" w:rsidR="006C4488" w:rsidRPr="006C4488" w:rsidRDefault="006C4488" w:rsidP="006C4488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1FACA4BE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16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3D38DF98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49E6AA80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single" w:sz="8" w:space="0" w:color="0070C0"/>
            </w:tcBorders>
            <w:shd w:val="clear" w:color="000000" w:fill="DAE9F8"/>
            <w:hideMark/>
          </w:tcPr>
          <w:p w14:paraId="3127DA00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6C4488" w:rsidRPr="006C4488" w14:paraId="7D838690" w14:textId="77777777" w:rsidTr="004C2CB8">
        <w:trPr>
          <w:trHeight w:val="259"/>
        </w:trPr>
        <w:tc>
          <w:tcPr>
            <w:tcW w:w="2380" w:type="dxa"/>
            <w:vMerge w:val="restart"/>
            <w:tcBorders>
              <w:top w:val="dotted" w:sz="4" w:space="0" w:color="auto"/>
              <w:left w:val="single" w:sz="8" w:space="0" w:color="0070C0"/>
              <w:bottom w:val="nil"/>
              <w:right w:val="nil"/>
            </w:tcBorders>
            <w:shd w:val="clear" w:color="000000" w:fill="DAE9F8"/>
            <w:hideMark/>
          </w:tcPr>
          <w:p w14:paraId="7FDA1954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Software Engineering </w:t>
            </w: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Team(s) LOE</w:t>
            </w:r>
          </w:p>
        </w:tc>
        <w:tc>
          <w:tcPr>
            <w:tcW w:w="2880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6D0AA1AD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168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BE954EB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516BAAF0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A89A4C9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Mid at build</w:t>
            </w:r>
          </w:p>
        </w:tc>
      </w:tr>
      <w:tr w:rsidR="006C4488" w:rsidRPr="006C4488" w14:paraId="78DD2B7E" w14:textId="77777777" w:rsidTr="004C2CB8">
        <w:trPr>
          <w:trHeight w:val="259"/>
        </w:trPr>
        <w:tc>
          <w:tcPr>
            <w:tcW w:w="2380" w:type="dxa"/>
            <w:vMerge/>
            <w:tcBorders>
              <w:top w:val="nil"/>
              <w:left w:val="single" w:sz="8" w:space="0" w:color="0070C0"/>
              <w:bottom w:val="dotted" w:sz="4" w:space="0" w:color="auto"/>
              <w:right w:val="nil"/>
            </w:tcBorders>
            <w:vAlign w:val="center"/>
            <w:hideMark/>
          </w:tcPr>
          <w:p w14:paraId="39CE3075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3625D2F1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n/a—sustainment</w:t>
            </w:r>
          </w:p>
        </w:tc>
        <w:tc>
          <w:tcPr>
            <w:tcW w:w="3168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641A4A9B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Mid to sustain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000000" w:fill="DAE9F8"/>
            <w:hideMark/>
          </w:tcPr>
          <w:p w14:paraId="5FACFB17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n/a—sustainment</w:t>
            </w:r>
          </w:p>
        </w:tc>
        <w:tc>
          <w:tcPr>
            <w:tcW w:w="3024" w:type="dxa"/>
            <w:tcBorders>
              <w:top w:val="nil"/>
              <w:left w:val="nil"/>
              <w:bottom w:val="dotted" w:sz="4" w:space="0" w:color="auto"/>
              <w:right w:val="single" w:sz="8" w:space="0" w:color="0070C0"/>
            </w:tcBorders>
            <w:shd w:val="clear" w:color="000000" w:fill="DAE9F8"/>
            <w:hideMark/>
          </w:tcPr>
          <w:p w14:paraId="0A2998F2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6C4488" w:rsidRPr="006C4488" w14:paraId="6879637F" w14:textId="77777777" w:rsidTr="004C2CB8">
        <w:trPr>
          <w:trHeight w:val="259"/>
        </w:trPr>
        <w:tc>
          <w:tcPr>
            <w:tcW w:w="2380" w:type="dxa"/>
            <w:vMerge w:val="restart"/>
            <w:tcBorders>
              <w:top w:val="dotted" w:sz="4" w:space="0" w:color="auto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57DA67B9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Business Intelligence</w:t>
            </w: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Team(s) LOE</w:t>
            </w:r>
          </w:p>
        </w:tc>
        <w:tc>
          <w:tcPr>
            <w:tcW w:w="2880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70CA1439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at build</w:t>
            </w:r>
          </w:p>
        </w:tc>
        <w:tc>
          <w:tcPr>
            <w:tcW w:w="3168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1376BDC1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n/a—build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000000" w:fill="DAE9F8"/>
            <w:hideMark/>
          </w:tcPr>
          <w:p w14:paraId="4D5A5015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  <w:tc>
          <w:tcPr>
            <w:tcW w:w="3024" w:type="dxa"/>
            <w:tcBorders>
              <w:top w:val="dotted" w:sz="4" w:space="0" w:color="auto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CBF0D99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 at build</w:t>
            </w:r>
          </w:p>
        </w:tc>
      </w:tr>
      <w:tr w:rsidR="006C4488" w:rsidRPr="006C4488" w14:paraId="4ADA972C" w14:textId="77777777" w:rsidTr="00452DD1">
        <w:trPr>
          <w:trHeight w:val="259"/>
        </w:trPr>
        <w:tc>
          <w:tcPr>
            <w:tcW w:w="2380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vAlign w:val="center"/>
            <w:hideMark/>
          </w:tcPr>
          <w:p w14:paraId="13EAF2D4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77273E0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Mid to sustain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CD42F71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32CDE70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5B5E471A" w14:textId="77777777" w:rsidR="006C4488" w:rsidRPr="00E70703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</w:pPr>
            <w:r w:rsidRPr="00E70703">
              <w:rPr>
                <w:rFonts w:ascii="Aptos Narrow" w:eastAsia="Times New Roman" w:hAnsi="Aptos Narrow" w:cs="Times New Roman"/>
                <w:color w:val="0070C0"/>
                <w:kern w:val="0"/>
                <w:sz w:val="20"/>
                <w:szCs w:val="20"/>
                <w14:ligatures w14:val="none"/>
              </w:rPr>
              <w:t>Low to sustain</w:t>
            </w:r>
          </w:p>
        </w:tc>
      </w:tr>
      <w:tr w:rsidR="00452DD1" w:rsidRPr="006C4488" w14:paraId="4163F3F1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nil"/>
              <w:right w:val="nil"/>
            </w:tcBorders>
            <w:hideMark/>
          </w:tcPr>
          <w:p w14:paraId="3EE64DF3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Data Governance</w:t>
            </w: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Capability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4492A63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Low / None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5EBD9E7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Good—possibly slow to update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41346C3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High 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528E8A7E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High </w:t>
            </w:r>
          </w:p>
        </w:tc>
      </w:tr>
      <w:tr w:rsidR="00452DD1" w:rsidRPr="006C4488" w14:paraId="375ECA7A" w14:textId="77777777" w:rsidTr="00452DD1">
        <w:trPr>
          <w:trHeight w:val="518"/>
        </w:trPr>
        <w:tc>
          <w:tcPr>
            <w:tcW w:w="2380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2923B2B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Clearly Separates CPFR / VDS Knowledge Domains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2EF4B990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7D7F9416" w14:textId="7B3EBE0B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Good—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may </w:t>
            </w:r>
            <w:r w:rsidRPr="00E7070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drift</w:t>
            </w:r>
            <w:r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 xml:space="preserve"> </w:t>
            </w:r>
            <w:r w:rsidR="0037301E" w:rsidRPr="00E70703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:highlight w:val="yellow"/>
                <w14:ligatures w14:val="none"/>
              </w:rPr>
              <w:t>if updates are sporadic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22611AD6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noWrap/>
            <w:hideMark/>
          </w:tcPr>
          <w:p w14:paraId="024F4D8D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High</w:t>
            </w:r>
          </w:p>
        </w:tc>
      </w:tr>
      <w:tr w:rsidR="00452DD1" w:rsidRPr="006C4488" w14:paraId="639B8E84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hideMark/>
          </w:tcPr>
          <w:p w14:paraId="4A8A8343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Enhanced Data Availability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3EDA831F" w14:textId="667C4238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  <w:r w:rsidR="00452DD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and tiers are static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5FE517AC" w14:textId="651A6056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  <w:r w:rsidR="00452DD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tiers may be slow to update, limited schema changes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noWrap/>
            <w:hideMark/>
          </w:tcPr>
          <w:p w14:paraId="72CA1266" w14:textId="10752859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  <w:r w:rsidR="00452DD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full schema control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D30C8FE" w14:textId="7FAB7A51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  <w:r w:rsidR="00452DD1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, full schema control</w:t>
            </w:r>
          </w:p>
        </w:tc>
      </w:tr>
      <w:tr w:rsidR="00452DD1" w:rsidRPr="006C4488" w14:paraId="3DEBB589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61B73A6A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Can Release MVP Platform</w:t>
            </w: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br/>
              <w:t>Before Hub is Complete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4D48D3E4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7DF5B46E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noWrap/>
            <w:hideMark/>
          </w:tcPr>
          <w:p w14:paraId="5617E1A9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Yes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noWrap/>
            <w:hideMark/>
          </w:tcPr>
          <w:p w14:paraId="6D38FA6A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Maybe</w:t>
            </w:r>
          </w:p>
        </w:tc>
      </w:tr>
      <w:tr w:rsidR="006C4488" w:rsidRPr="006C4488" w14:paraId="7FEA5587" w14:textId="77777777" w:rsidTr="00452DD1">
        <w:trPr>
          <w:trHeight w:val="51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hideMark/>
          </w:tcPr>
          <w:p w14:paraId="16A01A85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Advantages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17261A50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Fastest CPH roll-out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2BCC392B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Single threaded developers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hideMark/>
          </w:tcPr>
          <w:p w14:paraId="54B9F2BF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Single-threaded sustainment; "in-house" enhancement capabilities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7CA27834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"In-house" enhancement capabilities</w:t>
            </w:r>
          </w:p>
        </w:tc>
      </w:tr>
      <w:tr w:rsidR="006C4488" w:rsidRPr="006C4488" w14:paraId="4773B6D0" w14:textId="77777777" w:rsidTr="00452DD1">
        <w:trPr>
          <w:trHeight w:val="778"/>
        </w:trPr>
        <w:tc>
          <w:tcPr>
            <w:tcW w:w="238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5BE018F2" w14:textId="77777777" w:rsidR="006C4488" w:rsidRPr="006C4488" w:rsidRDefault="006C4488" w:rsidP="006C4488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Complications / Risks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3F29F453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Inherits any current suboptimalities or errors in queries; limited extensibility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478EEA05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Multi-threaded sustainment; externalizes design, build, and future enhancements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AE9F8"/>
            <w:hideMark/>
          </w:tcPr>
          <w:p w14:paraId="50B4A1CD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Must coordinate two build teams in separate domains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3CB00319" w14:textId="77777777" w:rsidR="006C4488" w:rsidRPr="006C4488" w:rsidRDefault="006C4488" w:rsidP="006C448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6C4488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Must coordinate three build teams in overlapping domains</w:t>
            </w:r>
          </w:p>
        </w:tc>
      </w:tr>
    </w:tbl>
    <w:p w14:paraId="6A5F8CF3" w14:textId="51A35739" w:rsidR="00452DD1" w:rsidRDefault="00452DD1" w:rsidP="00452DD1">
      <w:pPr>
        <w:spacing w:after="0" w:line="264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7CD8C67" w14:textId="0D986C57" w:rsidR="00452DD1" w:rsidRPr="00452DD1" w:rsidRDefault="00452DD1" w:rsidP="00452DD1">
      <w:pPr>
        <w:spacing w:after="0" w:line="264" w:lineRule="auto"/>
        <w:rPr>
          <w:sz w:val="12"/>
          <w:szCs w:val="12"/>
        </w:rPr>
      </w:pPr>
    </w:p>
    <w:p w14:paraId="742F6D7C" w14:textId="274D90DA" w:rsidR="00452DD1" w:rsidRPr="00452DD1" w:rsidRDefault="00452DD1" w:rsidP="00452DD1">
      <w:pPr>
        <w:spacing w:before="120" w:after="0" w:line="264" w:lineRule="auto"/>
        <w:rPr>
          <w:b/>
          <w:bCs/>
        </w:rPr>
      </w:pPr>
      <w:r w:rsidRPr="00452DD1">
        <w:rPr>
          <w:b/>
          <w:bCs/>
        </w:rPr>
        <w:t>APPENDIX 2: CPFR Tiering Structure</w:t>
      </w:r>
    </w:p>
    <w:p w14:paraId="34F8C3DC" w14:textId="77777777" w:rsidR="00452DD1" w:rsidRDefault="00452DD1" w:rsidP="00452DD1">
      <w:pPr>
        <w:spacing w:after="0" w:line="264" w:lineRule="auto"/>
        <w:rPr>
          <w:sz w:val="20"/>
          <w:szCs w:val="20"/>
        </w:rPr>
      </w:pPr>
    </w:p>
    <w:p w14:paraId="3A1783B5" w14:textId="0C5E3000" w:rsidR="00F91F7F" w:rsidRDefault="00F9531E" w:rsidP="00452DD1">
      <w:pPr>
        <w:spacing w:after="0" w:line="264" w:lineRule="auto"/>
        <w:rPr>
          <w:sz w:val="20"/>
          <w:szCs w:val="20"/>
        </w:rPr>
      </w:pPr>
      <w:r w:rsidRPr="00F9531E">
        <w:rPr>
          <w:sz w:val="20"/>
          <w:szCs w:val="20"/>
        </w:rPr>
        <w:t>CPFR's tiered data access structure demonstrates how Chewy balances comprehensive vendor coverage with differentiated data needs. The four-tier system serves 2,274 total vendors, with Tier 1 (10 vendors) receiving the most comprehensive dataset including extended forecasting horizons, detailed inventory metrics, and complete catalog information. As tiers progress from 1 to 4, data granularity decreases while vendor count increases significantly—Tier 4 alone serves 1,255 vendors with basic operational metrics. This structure reflects Chewy's approach to scaling data-sharing across a diverse vendor base, with ISMs tailoring data access to align with each vendor's operational capabilities and business needs.</w:t>
      </w:r>
      <w:r w:rsidR="00800FF2">
        <w:rPr>
          <w:sz w:val="20"/>
          <w:szCs w:val="20"/>
        </w:rPr>
        <w:t xml:space="preserve"> </w:t>
      </w:r>
      <w:r w:rsidR="00800FF2" w:rsidRPr="00E70703">
        <w:rPr>
          <w:sz w:val="20"/>
          <w:szCs w:val="20"/>
          <w:highlight w:val="yellow"/>
        </w:rPr>
        <w:t xml:space="preserve">This illustrates the depth and breadth </w:t>
      </w:r>
      <w:r w:rsidR="00E70703">
        <w:rPr>
          <w:sz w:val="20"/>
          <w:szCs w:val="20"/>
          <w:highlight w:val="yellow"/>
        </w:rPr>
        <w:t>of</w:t>
      </w:r>
      <w:r w:rsidR="00800FF2" w:rsidRPr="00E70703">
        <w:rPr>
          <w:sz w:val="20"/>
          <w:szCs w:val="20"/>
          <w:highlight w:val="yellow"/>
        </w:rPr>
        <w:t xml:space="preserve"> </w:t>
      </w:r>
      <w:r w:rsidR="00D023A9" w:rsidRPr="00E70703">
        <w:rPr>
          <w:sz w:val="20"/>
          <w:szCs w:val="20"/>
          <w:highlight w:val="yellow"/>
        </w:rPr>
        <w:t xml:space="preserve">CPFR </w:t>
      </w:r>
      <w:r w:rsidR="00E70703">
        <w:rPr>
          <w:sz w:val="20"/>
          <w:szCs w:val="20"/>
          <w:highlight w:val="yellow"/>
        </w:rPr>
        <w:t>data</w:t>
      </w:r>
      <w:r w:rsidR="005E208C">
        <w:rPr>
          <w:sz w:val="20"/>
          <w:szCs w:val="20"/>
          <w:highlight w:val="yellow"/>
        </w:rPr>
        <w:t xml:space="preserve"> that services must support</w:t>
      </w:r>
      <w:r w:rsidR="00D023A9" w:rsidRPr="00E70703">
        <w:rPr>
          <w:sz w:val="20"/>
          <w:szCs w:val="20"/>
          <w:highlight w:val="yellow"/>
        </w:rPr>
        <w:t>.</w:t>
      </w:r>
    </w:p>
    <w:p w14:paraId="467B825D" w14:textId="77777777" w:rsidR="00452DD1" w:rsidRPr="000E6806" w:rsidRDefault="00452DD1" w:rsidP="00452DD1">
      <w:pPr>
        <w:spacing w:after="0" w:line="264" w:lineRule="auto"/>
        <w:rPr>
          <w:sz w:val="20"/>
          <w:szCs w:val="20"/>
        </w:rPr>
      </w:pPr>
    </w:p>
    <w:tbl>
      <w:tblPr>
        <w:tblW w:w="14400" w:type="dxa"/>
        <w:tblCellMar>
          <w:right w:w="173" w:type="dxa"/>
        </w:tblCellMar>
        <w:tblLook w:val="04A0" w:firstRow="1" w:lastRow="0" w:firstColumn="1" w:lastColumn="0" w:noHBand="0" w:noVBand="1"/>
      </w:tblPr>
      <w:tblGrid>
        <w:gridCol w:w="2448"/>
        <w:gridCol w:w="2880"/>
        <w:gridCol w:w="2880"/>
        <w:gridCol w:w="3024"/>
        <w:gridCol w:w="3168"/>
      </w:tblGrid>
      <w:tr w:rsidR="00737FC7" w:rsidRPr="00F91F7F" w14:paraId="77F9DD41" w14:textId="77777777" w:rsidTr="000E6806">
        <w:trPr>
          <w:trHeight w:val="259"/>
        </w:trPr>
        <w:tc>
          <w:tcPr>
            <w:tcW w:w="2448" w:type="dxa"/>
            <w:tcBorders>
              <w:top w:val="single" w:sz="8" w:space="0" w:color="0070C0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0070C0"/>
            <w:noWrap/>
            <w:hideMark/>
          </w:tcPr>
          <w:p w14:paraId="4E53C4E2" w14:textId="4B6C0BED" w:rsidR="00624458" w:rsidRPr="00F91F7F" w:rsidRDefault="00624458" w:rsidP="0062445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CPFR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7EB4E365" w14:textId="77777777" w:rsidR="00F91F7F" w:rsidRPr="00F91F7F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4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7C849CF6" w14:textId="77777777" w:rsidR="00F91F7F" w:rsidRPr="00F91F7F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3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06869291" w14:textId="77777777" w:rsidR="00F91F7F" w:rsidRPr="00F91F7F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2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nil"/>
            </w:tcBorders>
            <w:shd w:val="clear" w:color="000000" w:fill="0070C0"/>
            <w:noWrap/>
            <w:hideMark/>
          </w:tcPr>
          <w:p w14:paraId="73B16844" w14:textId="77777777" w:rsidR="00F91F7F" w:rsidRPr="00F91F7F" w:rsidRDefault="00F91F7F" w:rsidP="00F91F7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b/>
                <w:bCs/>
                <w:color w:val="FFFFFF"/>
                <w:kern w:val="0"/>
                <w:sz w:val="20"/>
                <w:szCs w:val="20"/>
                <w14:ligatures w14:val="none"/>
              </w:rPr>
              <w:t>Tier 1</w:t>
            </w:r>
          </w:p>
        </w:tc>
      </w:tr>
      <w:tr w:rsidR="00737FC7" w:rsidRPr="00F91F7F" w14:paraId="5C853B16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7A9FDD3" w14:textId="77777777" w:rsidR="00F91F7F" w:rsidRPr="00F91F7F" w:rsidRDefault="00F91F7F" w:rsidP="000E6806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Forecast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5F7B6131" w14:textId="584C0193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1B4C70F7" w14:textId="27FB3BEF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5E96773D" w14:textId="7812A93A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4D695240" w14:textId="339C5E33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Current Month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</w:tr>
      <w:tr w:rsidR="00737FC7" w:rsidRPr="00F91F7F" w14:paraId="7F17E4B2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E38B306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6038ECEE" w14:textId="4A9B855C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3-Months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2E65B21" w14:textId="0307B2F2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6-Months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5A42AD58" w14:textId="6A120438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6-Months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4B00F731" w14:textId="2303491E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Next 6-Months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Forecast</w:t>
            </w:r>
          </w:p>
        </w:tc>
      </w:tr>
      <w:tr w:rsidR="00737FC7" w:rsidRPr="00F91F7F" w14:paraId="300AD3E4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noWrap/>
            <w:hideMark/>
          </w:tcPr>
          <w:p w14:paraId="52AD6EF5" w14:textId="77777777" w:rsidR="00F91F7F" w:rsidRPr="00F91F7F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Autoship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286953A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017C54F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AF94F7A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AS Demand (30 days)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96AC4C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AS Demand (30 days)</w:t>
            </w:r>
          </w:p>
        </w:tc>
      </w:tr>
      <w:tr w:rsidR="00737FC7" w:rsidRPr="00F91F7F" w14:paraId="5692629C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A6F9903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164DD0FF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4257965C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35302B74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13FFC76D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AS-Backorders</w:t>
            </w:r>
          </w:p>
        </w:tc>
      </w:tr>
      <w:tr w:rsidR="00737FC7" w:rsidRPr="00F91F7F" w14:paraId="1DBE8837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8DDD57C" w14:textId="77777777" w:rsidR="00F91F7F" w:rsidRPr="00F91F7F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Inventory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153D596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8357F50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761CCCD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OH Units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4DFA7DF2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OH Units</w:t>
            </w:r>
          </w:p>
        </w:tc>
      </w:tr>
      <w:tr w:rsidR="00737FC7" w:rsidRPr="00F91F7F" w14:paraId="3377C58F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17C794D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F465837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18B2F646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249E8910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OO Units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70FCF60A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OO Units</w:t>
            </w:r>
          </w:p>
        </w:tc>
      </w:tr>
      <w:tr w:rsidR="00737FC7" w:rsidRPr="00F91F7F" w14:paraId="6116A301" w14:textId="77777777" w:rsidTr="000E6806">
        <w:trPr>
          <w:trHeight w:val="259"/>
        </w:trPr>
        <w:tc>
          <w:tcPr>
            <w:tcW w:w="2448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14E2D665" w14:textId="77777777" w:rsidR="00F91F7F" w:rsidRPr="00F91F7F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OOS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D47933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1DE6A8FA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34ED410F" w14:textId="7CA154F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PDP %</w:t>
            </w:r>
            <w:r w:rsidR="000E680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0CE5A5CF" w14:textId="4FEA6318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PDP %</w:t>
            </w:r>
            <w:r w:rsidR="000E680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</w:tr>
      <w:tr w:rsidR="00737FC7" w:rsidRPr="00F91F7F" w14:paraId="37D6C66F" w14:textId="77777777" w:rsidTr="000E6806">
        <w:trPr>
          <w:trHeight w:val="259"/>
        </w:trPr>
        <w:tc>
          <w:tcPr>
            <w:tcW w:w="2448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3C784F08" w14:textId="77777777" w:rsidR="00F91F7F" w:rsidRPr="00F91F7F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Fill Rate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6E7CAE6F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403CD1EF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784E902B" w14:textId="5CA28456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Fill-Rate %</w:t>
            </w:r>
            <w:r w:rsidR="000E680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78FDB35C" w14:textId="0899C34D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Fill-Rate %</w:t>
            </w:r>
            <w:r w:rsidR="000E680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(trailing </w:t>
            </w:r>
            <w:r w:rsidR="000E6806"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30-day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avg)</w:t>
            </w:r>
          </w:p>
        </w:tc>
      </w:tr>
      <w:tr w:rsidR="00737FC7" w:rsidRPr="00F91F7F" w14:paraId="6015FFA9" w14:textId="77777777" w:rsidTr="000E6806">
        <w:trPr>
          <w:trHeight w:val="259"/>
        </w:trPr>
        <w:tc>
          <w:tcPr>
            <w:tcW w:w="2448" w:type="dxa"/>
            <w:tcBorders>
              <w:top w:val="nil"/>
              <w:left w:val="single" w:sz="8" w:space="0" w:color="0070C0"/>
              <w:bottom w:val="nil"/>
              <w:right w:val="single" w:sz="8" w:space="0" w:color="0070C0"/>
            </w:tcBorders>
            <w:shd w:val="clear" w:color="000000" w:fill="DAE9F8"/>
            <w:noWrap/>
            <w:hideMark/>
          </w:tcPr>
          <w:p w14:paraId="45876D76" w14:textId="77777777" w:rsidR="00F91F7F" w:rsidRPr="00F91F7F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DOS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77F193C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1F81D0A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67EE76C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DOS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D80C518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DOS</w:t>
            </w:r>
          </w:p>
        </w:tc>
      </w:tr>
      <w:tr w:rsidR="00737FC7" w:rsidRPr="00F91F7F" w14:paraId="3DF1892E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46FDDD59" w14:textId="77777777" w:rsidR="00F91F7F" w:rsidRPr="00F91F7F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142168D7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60BFBAD9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nil"/>
              <w:right w:val="single" w:sz="4" w:space="0" w:color="0070C0"/>
            </w:tcBorders>
            <w:hideMark/>
          </w:tcPr>
          <w:p w14:paraId="36700042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nil"/>
              <w:right w:val="single" w:sz="8" w:space="0" w:color="0070C0"/>
            </w:tcBorders>
            <w:hideMark/>
          </w:tcPr>
          <w:p w14:paraId="01C6AD43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 by FC</w:t>
            </w:r>
          </w:p>
        </w:tc>
      </w:tr>
      <w:tr w:rsidR="00737FC7" w:rsidRPr="00F91F7F" w14:paraId="6243DD3B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76287922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9BC12E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0F2CE93B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48FC2558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0C31818E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 by Region</w:t>
            </w:r>
          </w:p>
        </w:tc>
      </w:tr>
      <w:tr w:rsidR="00737FC7" w:rsidRPr="00F91F7F" w14:paraId="10E7EC8B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608B068F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50878BE4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7B0E91E6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hideMark/>
          </w:tcPr>
          <w:p w14:paraId="79003038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hideMark/>
          </w:tcPr>
          <w:p w14:paraId="1746C45D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NOP / OP Demand</w:t>
            </w:r>
          </w:p>
        </w:tc>
      </w:tr>
      <w:tr w:rsidR="00737FC7" w:rsidRPr="00F91F7F" w14:paraId="7631A9A7" w14:textId="77777777" w:rsidTr="000E6806">
        <w:trPr>
          <w:trHeight w:val="259"/>
        </w:trPr>
        <w:tc>
          <w:tcPr>
            <w:tcW w:w="2448" w:type="dxa"/>
            <w:vMerge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2C6A5249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05E3806E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03C2C180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hideMark/>
          </w:tcPr>
          <w:p w14:paraId="6185EE3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hideMark/>
          </w:tcPr>
          <w:p w14:paraId="6A0FAB75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Total Demand</w:t>
            </w:r>
          </w:p>
        </w:tc>
      </w:tr>
      <w:tr w:rsidR="00737FC7" w:rsidRPr="00F91F7F" w14:paraId="6C16DCCE" w14:textId="77777777" w:rsidTr="000E6806">
        <w:trPr>
          <w:trHeight w:val="259"/>
        </w:trPr>
        <w:tc>
          <w:tcPr>
            <w:tcW w:w="2448" w:type="dxa"/>
            <w:vMerge w:val="restart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6A465910" w14:textId="3CE356CF" w:rsidR="00F91F7F" w:rsidRPr="00F91F7F" w:rsidRDefault="00F91F7F" w:rsidP="00F91F7F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Catalog</w:t>
            </w:r>
            <w:r w:rsidR="000E6806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Details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7D39C25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C1A0F67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ECDEC1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0CE5EF38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Published Y/N</w:t>
            </w:r>
          </w:p>
        </w:tc>
      </w:tr>
      <w:tr w:rsidR="00737FC7" w:rsidRPr="00F91F7F" w14:paraId="4E6D113D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4421C425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E6E9C47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46E2BA7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18D9A09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505B021E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Discontinued Y/N</w:t>
            </w:r>
          </w:p>
        </w:tc>
      </w:tr>
      <w:tr w:rsidR="00737FC7" w:rsidRPr="00F91F7F" w14:paraId="2E4569C4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493B30EB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ED08674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0C2FD3D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7379D29E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2391DFDA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MOQ</w:t>
            </w:r>
          </w:p>
        </w:tc>
      </w:tr>
      <w:tr w:rsidR="00737FC7" w:rsidRPr="00F91F7F" w14:paraId="4B1262B9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7F7473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472E51D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66CC59DB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48A01BF9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415DEB23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Base UOM, Purchase UOM</w:t>
            </w:r>
          </w:p>
        </w:tc>
      </w:tr>
      <w:tr w:rsidR="00737FC7" w:rsidRPr="00F91F7F" w14:paraId="1E016A2D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1B623837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21343C4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581B690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2E982B0C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1EB8437A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Eaches per Case/Layer/Pallet</w:t>
            </w:r>
          </w:p>
        </w:tc>
      </w:tr>
      <w:tr w:rsidR="00737FC7" w:rsidRPr="00F91F7F" w14:paraId="42800E5C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3753056F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070438F0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4808F8D9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single" w:sz="4" w:space="0" w:color="0070C0"/>
            </w:tcBorders>
            <w:shd w:val="clear" w:color="000000" w:fill="DAE9F8"/>
            <w:hideMark/>
          </w:tcPr>
          <w:p w14:paraId="1B3F7660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DAE9F8"/>
            <w:hideMark/>
          </w:tcPr>
          <w:p w14:paraId="6CACF6AC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Order divisibility by Pallet/Layer</w:t>
            </w:r>
          </w:p>
        </w:tc>
      </w:tr>
      <w:tr w:rsidR="00737FC7" w:rsidRPr="00F91F7F" w14:paraId="19D43250" w14:textId="77777777" w:rsidTr="000E6806">
        <w:trPr>
          <w:trHeight w:val="259"/>
        </w:trPr>
        <w:tc>
          <w:tcPr>
            <w:tcW w:w="2448" w:type="dxa"/>
            <w:vMerge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vAlign w:val="center"/>
            <w:hideMark/>
          </w:tcPr>
          <w:p w14:paraId="45B3AC39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18E2E784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53D8808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024" w:type="dxa"/>
            <w:tcBorders>
              <w:top w:val="nil"/>
              <w:left w:val="nil"/>
              <w:bottom w:val="single" w:sz="8" w:space="0" w:color="0070C0"/>
              <w:right w:val="single" w:sz="4" w:space="0" w:color="0070C0"/>
            </w:tcBorders>
            <w:shd w:val="clear" w:color="000000" w:fill="DAE9F8"/>
            <w:hideMark/>
          </w:tcPr>
          <w:p w14:paraId="33C6AEA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DAE9F8"/>
            <w:hideMark/>
          </w:tcPr>
          <w:p w14:paraId="68262131" w14:textId="77777777" w:rsidR="00F91F7F" w:rsidRPr="00F91F7F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Temp Disable</w:t>
            </w:r>
          </w:p>
        </w:tc>
      </w:tr>
      <w:tr w:rsidR="00737FC7" w:rsidRPr="00F91F7F" w14:paraId="18363E3D" w14:textId="77777777" w:rsidTr="000E6806">
        <w:trPr>
          <w:trHeight w:val="144"/>
        </w:trPr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9AF4E9" w14:textId="77777777" w:rsidR="00F91F7F" w:rsidRPr="000E6806" w:rsidRDefault="00F91F7F" w:rsidP="00F91F7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B28448" w14:textId="77777777" w:rsidR="00F91F7F" w:rsidRPr="00F91F7F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899EE3" w14:textId="77777777" w:rsidR="00F91F7F" w:rsidRPr="00F91F7F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A15769" w14:textId="77777777" w:rsidR="00F91F7F" w:rsidRPr="00F91F7F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A33508" w14:textId="77777777" w:rsidR="00F91F7F" w:rsidRPr="00F91F7F" w:rsidRDefault="00F91F7F" w:rsidP="00F91F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737FC7" w:rsidRPr="00F91F7F" w14:paraId="43114C84" w14:textId="77777777" w:rsidTr="000E6806">
        <w:trPr>
          <w:trHeight w:val="259"/>
        </w:trPr>
        <w:tc>
          <w:tcPr>
            <w:tcW w:w="2448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hideMark/>
          </w:tcPr>
          <w:p w14:paraId="73FE64D3" w14:textId="362486EC" w:rsidR="00F91F7F" w:rsidRPr="00F91F7F" w:rsidRDefault="00F91F7F" w:rsidP="00B11033">
            <w:pPr>
              <w:spacing w:after="0" w:line="240" w:lineRule="auto"/>
              <w:ind w:firstLineChars="100" w:firstLine="200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Vendors</w:t>
            </w:r>
            <w:r w:rsidR="00737FC7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 xml:space="preserve"> </w:t>
            </w: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Per Tier *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noWrap/>
            <w:hideMark/>
          </w:tcPr>
          <w:p w14:paraId="016EFB7A" w14:textId="77777777" w:rsidR="00F91F7F" w:rsidRPr="00F91F7F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1255</w:t>
            </w:r>
          </w:p>
        </w:tc>
        <w:tc>
          <w:tcPr>
            <w:tcW w:w="2880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noWrap/>
            <w:hideMark/>
          </w:tcPr>
          <w:p w14:paraId="19B21E83" w14:textId="77777777" w:rsidR="00F91F7F" w:rsidRPr="00F91F7F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955</w:t>
            </w:r>
          </w:p>
        </w:tc>
        <w:tc>
          <w:tcPr>
            <w:tcW w:w="3024" w:type="dxa"/>
            <w:tcBorders>
              <w:top w:val="single" w:sz="8" w:space="0" w:color="0070C0"/>
              <w:left w:val="nil"/>
              <w:bottom w:val="single" w:sz="8" w:space="0" w:color="0070C0"/>
              <w:right w:val="single" w:sz="4" w:space="0" w:color="0070C0"/>
            </w:tcBorders>
            <w:noWrap/>
            <w:hideMark/>
          </w:tcPr>
          <w:p w14:paraId="61493AFD" w14:textId="77777777" w:rsidR="00F91F7F" w:rsidRPr="00F91F7F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54</w:t>
            </w:r>
          </w:p>
        </w:tc>
        <w:tc>
          <w:tcPr>
            <w:tcW w:w="3168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noWrap/>
            <w:hideMark/>
          </w:tcPr>
          <w:p w14:paraId="5168F87A" w14:textId="77777777" w:rsidR="00F91F7F" w:rsidRPr="00F91F7F" w:rsidRDefault="00F91F7F" w:rsidP="00B110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F91F7F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10</w:t>
            </w:r>
          </w:p>
        </w:tc>
      </w:tr>
    </w:tbl>
    <w:p w14:paraId="1B6778EE" w14:textId="46072200" w:rsidR="00F91F7F" w:rsidRDefault="00737FC7" w:rsidP="00B11033">
      <w:pPr>
        <w:spacing w:after="0" w:line="264" w:lineRule="auto"/>
        <w:ind w:left="720"/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</w:pPr>
      <w:r w:rsidRPr="00F91F7F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* Includes FC + Drop-ship vendors; Tiers </w:t>
      </w:r>
      <w:r w:rsidR="006C74C3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2</w:t>
      </w:r>
      <w:r w:rsidRPr="00F91F7F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 - 4 are sent by unique vendor number… </w:t>
      </w:r>
      <w:r w:rsidR="00800FF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Tier 1</w:t>
      </w:r>
      <w:r w:rsidRPr="00F91F7F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 consider</w:t>
      </w:r>
      <w:r w:rsidR="00800FF2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s only</w:t>
      </w:r>
      <w:r w:rsidRPr="00F91F7F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 xml:space="preserve"> parent company</w:t>
      </w:r>
    </w:p>
    <w:p w14:paraId="7122EE7D" w14:textId="64242B3E" w:rsidR="00737FC7" w:rsidRDefault="00737FC7" w:rsidP="00B11033">
      <w:pPr>
        <w:spacing w:after="0" w:line="264" w:lineRule="auto"/>
        <w:ind w:left="720"/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</w:pPr>
      <w:r w:rsidRPr="00F91F7F">
        <w:rPr>
          <w:rFonts w:ascii="Aptos Narrow" w:eastAsia="Times New Roman" w:hAnsi="Aptos Narrow" w:cs="Times New Roman"/>
          <w:i/>
          <w:iCs/>
          <w:color w:val="000000"/>
          <w:kern w:val="0"/>
          <w:sz w:val="18"/>
          <w:szCs w:val="18"/>
          <w14:ligatures w14:val="none"/>
        </w:rPr>
        <w:t>** CPFR enrolls approximately 70% of overall vendor population</w:t>
      </w:r>
    </w:p>
    <w:p w14:paraId="418F9D47" w14:textId="77777777" w:rsidR="00452DD1" w:rsidRDefault="00452DD1" w:rsidP="00452DD1">
      <w:pPr>
        <w:spacing w:after="0" w:line="264" w:lineRule="auto"/>
        <w:rPr>
          <w:rFonts w:ascii="Aptos Narrow" w:eastAsia="Times New Roman" w:hAnsi="Aptos Narrow" w:cs="Times New Roman"/>
          <w:color w:val="000000"/>
          <w:kern w:val="0"/>
          <w:sz w:val="20"/>
          <w:szCs w:val="20"/>
          <w14:ligatures w14:val="none"/>
        </w:rPr>
      </w:pPr>
    </w:p>
    <w:p w14:paraId="101DE699" w14:textId="6624472F" w:rsidR="00452DD1" w:rsidRDefault="00452DD1">
      <w:pPr>
        <w:rPr>
          <w:rFonts w:ascii="Aptos Narrow" w:eastAsia="Times New Roman" w:hAnsi="Aptos Narrow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0"/>
          <w:szCs w:val="20"/>
          <w14:ligatures w14:val="none"/>
        </w:rPr>
        <w:br w:type="page"/>
      </w:r>
    </w:p>
    <w:p w14:paraId="18CBBA7B" w14:textId="77777777" w:rsidR="00452DD1" w:rsidRDefault="00452DD1" w:rsidP="00452DD1">
      <w:pPr>
        <w:spacing w:after="0" w:line="264" w:lineRule="auto"/>
        <w:rPr>
          <w:rFonts w:ascii="Aptos Narrow" w:hAnsi="Aptos Narrow"/>
          <w:sz w:val="20"/>
          <w:szCs w:val="20"/>
        </w:rPr>
      </w:pPr>
    </w:p>
    <w:p w14:paraId="3CFFC02F" w14:textId="36A32EC4" w:rsidR="00452DD1" w:rsidRPr="00452DD1" w:rsidRDefault="00452DD1" w:rsidP="00452DD1">
      <w:pPr>
        <w:spacing w:after="0" w:line="264" w:lineRule="auto"/>
        <w:rPr>
          <w:rFonts w:ascii="Aptos Narrow" w:hAnsi="Aptos Narrow"/>
          <w:b/>
          <w:bCs/>
        </w:rPr>
      </w:pPr>
      <w:r w:rsidRPr="00452DD1">
        <w:rPr>
          <w:rFonts w:ascii="Aptos Narrow" w:hAnsi="Aptos Narrow"/>
          <w:b/>
          <w:bCs/>
        </w:rPr>
        <w:t>APPENDIX 3: Notes and</w:t>
      </w:r>
      <w:r w:rsidR="00544AF0">
        <w:rPr>
          <w:rFonts w:ascii="Aptos Narrow" w:hAnsi="Aptos Narrow"/>
          <w:b/>
          <w:bCs/>
        </w:rPr>
        <w:t xml:space="preserve"> FAQ</w:t>
      </w:r>
    </w:p>
    <w:p w14:paraId="434A7518" w14:textId="77777777" w:rsidR="00452DD1" w:rsidRDefault="00452DD1" w:rsidP="00452DD1">
      <w:pPr>
        <w:spacing w:after="0" w:line="264" w:lineRule="auto"/>
        <w:rPr>
          <w:rFonts w:ascii="Aptos Narrow" w:hAnsi="Aptos Narrow"/>
          <w:sz w:val="20"/>
          <w:szCs w:val="20"/>
        </w:rPr>
      </w:pPr>
    </w:p>
    <w:p w14:paraId="7A4601F6" w14:textId="25B30022" w:rsidR="00452DD1" w:rsidRDefault="00525E4C" w:rsidP="00452DD1">
      <w:pPr>
        <w:spacing w:after="0" w:line="264" w:lineRule="auto"/>
        <w:rPr>
          <w:rFonts w:ascii="Aptos" w:hAnsi="Aptos"/>
          <w:b/>
          <w:bCs/>
          <w:sz w:val="20"/>
          <w:szCs w:val="20"/>
        </w:rPr>
      </w:pPr>
      <w:r>
        <w:rPr>
          <w:rFonts w:ascii="Aptos" w:hAnsi="Aptos"/>
          <w:b/>
          <w:bCs/>
          <w:sz w:val="20"/>
          <w:szCs w:val="20"/>
        </w:rPr>
        <w:t>Additional Considerations:</w:t>
      </w:r>
    </w:p>
    <w:p w14:paraId="5A8059F0" w14:textId="77777777" w:rsidR="00525E4C" w:rsidRDefault="00525E4C" w:rsidP="00452DD1">
      <w:pPr>
        <w:spacing w:after="0" w:line="264" w:lineRule="auto"/>
        <w:rPr>
          <w:rFonts w:ascii="Aptos" w:hAnsi="Aptos"/>
          <w:b/>
          <w:bCs/>
          <w:sz w:val="20"/>
          <w:szCs w:val="20"/>
        </w:rPr>
      </w:pPr>
    </w:p>
    <w:p w14:paraId="745B946A" w14:textId="132D47C4" w:rsidR="00525E4C" w:rsidRDefault="00525E4C" w:rsidP="00525E4C">
      <w:pPr>
        <w:pStyle w:val="ListParagraph"/>
        <w:numPr>
          <w:ilvl w:val="0"/>
          <w:numId w:val="30"/>
        </w:numPr>
        <w:spacing w:after="0" w:line="264" w:lineRule="auto"/>
        <w:ind w:left="360"/>
        <w:rPr>
          <w:rFonts w:ascii="Aptos" w:hAnsi="Aptos"/>
          <w:sz w:val="20"/>
          <w:szCs w:val="20"/>
        </w:rPr>
      </w:pPr>
      <w:r w:rsidRPr="00525E4C">
        <w:rPr>
          <w:rFonts w:ascii="Aptos" w:hAnsi="Aptos"/>
          <w:sz w:val="20"/>
          <w:szCs w:val="20"/>
          <w:u w:val="single"/>
        </w:rPr>
        <w:t>Buy vs. Build:</w:t>
      </w:r>
      <w:r>
        <w:rPr>
          <w:rFonts w:ascii="Aptos" w:hAnsi="Aptos"/>
          <w:sz w:val="20"/>
          <w:szCs w:val="20"/>
        </w:rPr>
        <w:t xml:space="preserve"> At this time, Chewy’s CPFR needs are best served by improving consistency and accessibility of data. Chewy’s tech-stack and in-house expertise is already competent for these purposes</w:t>
      </w:r>
      <w:r w:rsidR="0039548E">
        <w:rPr>
          <w:rFonts w:ascii="Aptos" w:hAnsi="Aptos"/>
          <w:sz w:val="20"/>
          <w:szCs w:val="20"/>
        </w:rPr>
        <w:t>. ‘O</w:t>
      </w:r>
      <w:r>
        <w:rPr>
          <w:rFonts w:ascii="Aptos" w:hAnsi="Aptos"/>
          <w:sz w:val="20"/>
          <w:szCs w:val="20"/>
        </w:rPr>
        <w:t xml:space="preserve">ff the shelf’ tools or platforms are not expected to add significant incremental value and </w:t>
      </w:r>
      <w:r w:rsidR="0039548E">
        <w:rPr>
          <w:rFonts w:ascii="Aptos" w:hAnsi="Aptos"/>
          <w:sz w:val="20"/>
          <w:szCs w:val="20"/>
        </w:rPr>
        <w:t xml:space="preserve">potentially </w:t>
      </w:r>
      <w:r>
        <w:rPr>
          <w:rFonts w:ascii="Aptos" w:hAnsi="Aptos"/>
          <w:sz w:val="20"/>
          <w:szCs w:val="20"/>
        </w:rPr>
        <w:t>increase risk</w:t>
      </w:r>
      <w:r w:rsidR="0039548E">
        <w:rPr>
          <w:rFonts w:ascii="Aptos" w:hAnsi="Aptos"/>
          <w:sz w:val="20"/>
          <w:szCs w:val="20"/>
        </w:rPr>
        <w:t>/cost.</w:t>
      </w:r>
    </w:p>
    <w:p w14:paraId="75F1136A" w14:textId="32C435E0" w:rsidR="00525E4C" w:rsidRDefault="00525E4C" w:rsidP="00525E4C">
      <w:pPr>
        <w:pStyle w:val="ListParagraph"/>
        <w:numPr>
          <w:ilvl w:val="0"/>
          <w:numId w:val="30"/>
        </w:numPr>
        <w:spacing w:after="0" w:line="264" w:lineRule="auto"/>
        <w:ind w:left="360"/>
        <w:rPr>
          <w:rFonts w:ascii="Aptos" w:hAnsi="Aptos"/>
          <w:sz w:val="20"/>
          <w:szCs w:val="20"/>
        </w:rPr>
      </w:pPr>
      <w:r w:rsidRPr="00220FD2">
        <w:rPr>
          <w:rFonts w:ascii="Aptos" w:hAnsi="Aptos"/>
          <w:sz w:val="20"/>
          <w:szCs w:val="20"/>
          <w:u w:val="single"/>
        </w:rPr>
        <w:t>VDS Lite:</w:t>
      </w:r>
      <w:r>
        <w:rPr>
          <w:rFonts w:ascii="Aptos" w:hAnsi="Aptos"/>
          <w:sz w:val="20"/>
          <w:szCs w:val="20"/>
        </w:rPr>
        <w:t xml:space="preserve"> While VDS Lite should be considered a relevant candidate among these solutions, </w:t>
      </w:r>
      <w:r w:rsidR="00D722DF">
        <w:rPr>
          <w:rFonts w:ascii="Aptos" w:hAnsi="Aptos"/>
          <w:sz w:val="20"/>
          <w:szCs w:val="20"/>
        </w:rPr>
        <w:t>VDS</w:t>
      </w:r>
      <w:r>
        <w:rPr>
          <w:rFonts w:ascii="Aptos" w:hAnsi="Aptos"/>
          <w:sz w:val="20"/>
          <w:szCs w:val="20"/>
        </w:rPr>
        <w:t xml:space="preserve">’s </w:t>
      </w:r>
      <w:r w:rsidR="006C74C3">
        <w:rPr>
          <w:rFonts w:ascii="Aptos" w:hAnsi="Aptos"/>
          <w:sz w:val="20"/>
          <w:szCs w:val="20"/>
        </w:rPr>
        <w:t xml:space="preserve">present </w:t>
      </w:r>
      <w:r>
        <w:rPr>
          <w:rFonts w:ascii="Aptos" w:hAnsi="Aptos"/>
          <w:sz w:val="20"/>
          <w:szCs w:val="20"/>
        </w:rPr>
        <w:t xml:space="preserve">status in KTLO, as well as the undefined nature of </w:t>
      </w:r>
      <w:r w:rsidR="00D722DF">
        <w:rPr>
          <w:rFonts w:ascii="Aptos" w:hAnsi="Aptos"/>
          <w:sz w:val="20"/>
          <w:szCs w:val="20"/>
        </w:rPr>
        <w:t>the ‘Lite’ offering’s</w:t>
      </w:r>
      <w:r>
        <w:rPr>
          <w:rFonts w:ascii="Aptos" w:hAnsi="Aptos"/>
          <w:sz w:val="20"/>
          <w:szCs w:val="20"/>
        </w:rPr>
        <w:t xml:space="preserve"> capacities</w:t>
      </w:r>
      <w:r w:rsidR="00A06EDE">
        <w:rPr>
          <w:rFonts w:ascii="Aptos" w:hAnsi="Aptos"/>
          <w:sz w:val="20"/>
          <w:szCs w:val="20"/>
        </w:rPr>
        <w:t xml:space="preserve"> and </w:t>
      </w:r>
      <w:r>
        <w:rPr>
          <w:rFonts w:ascii="Aptos" w:hAnsi="Aptos"/>
          <w:sz w:val="20"/>
          <w:szCs w:val="20"/>
        </w:rPr>
        <w:t>capabilities</w:t>
      </w:r>
      <w:r w:rsidR="00A06EDE">
        <w:rPr>
          <w:rFonts w:ascii="Aptos" w:hAnsi="Aptos"/>
          <w:sz w:val="20"/>
          <w:szCs w:val="20"/>
        </w:rPr>
        <w:t xml:space="preserve"> </w:t>
      </w:r>
      <w:r>
        <w:rPr>
          <w:rFonts w:ascii="Aptos" w:hAnsi="Aptos"/>
          <w:sz w:val="20"/>
          <w:szCs w:val="20"/>
        </w:rPr>
        <w:t xml:space="preserve">make it </w:t>
      </w:r>
      <w:r w:rsidR="0039548E">
        <w:rPr>
          <w:rFonts w:ascii="Aptos" w:hAnsi="Aptos"/>
          <w:sz w:val="20"/>
          <w:szCs w:val="20"/>
        </w:rPr>
        <w:t>difficult</w:t>
      </w:r>
      <w:r>
        <w:rPr>
          <w:rFonts w:ascii="Aptos" w:hAnsi="Aptos"/>
          <w:sz w:val="20"/>
          <w:szCs w:val="20"/>
        </w:rPr>
        <w:t xml:space="preserve"> to accurately evaluate in comparison to the other options listed here. </w:t>
      </w:r>
      <w:r w:rsidR="005E208C">
        <w:rPr>
          <w:rFonts w:ascii="Aptos" w:hAnsi="Aptos"/>
          <w:sz w:val="20"/>
          <w:szCs w:val="20"/>
        </w:rPr>
        <w:t>If</w:t>
      </w:r>
      <w:r w:rsidR="00A06EDE">
        <w:rPr>
          <w:rFonts w:ascii="Aptos" w:hAnsi="Aptos"/>
          <w:sz w:val="20"/>
          <w:szCs w:val="20"/>
        </w:rPr>
        <w:t xml:space="preserve"> VDS Lite requires further build-out, </w:t>
      </w:r>
      <w:r w:rsidR="004C7278">
        <w:rPr>
          <w:rFonts w:ascii="Aptos" w:hAnsi="Aptos"/>
          <w:sz w:val="20"/>
          <w:szCs w:val="20"/>
        </w:rPr>
        <w:t>development might be protracted</w:t>
      </w:r>
      <w:r>
        <w:rPr>
          <w:rFonts w:ascii="Aptos" w:hAnsi="Aptos"/>
          <w:sz w:val="20"/>
          <w:szCs w:val="20"/>
        </w:rPr>
        <w:t xml:space="preserve">. </w:t>
      </w:r>
      <w:r w:rsidR="006C74C3" w:rsidRPr="005E208C">
        <w:rPr>
          <w:rFonts w:ascii="Aptos" w:hAnsi="Aptos"/>
          <w:sz w:val="20"/>
          <w:szCs w:val="20"/>
          <w:highlight w:val="yellow"/>
        </w:rPr>
        <w:t xml:space="preserve">However, </w:t>
      </w:r>
      <w:r w:rsidR="0039548E" w:rsidRPr="005E208C">
        <w:rPr>
          <w:rFonts w:ascii="Aptos" w:hAnsi="Aptos"/>
          <w:sz w:val="20"/>
          <w:szCs w:val="20"/>
          <w:highlight w:val="yellow"/>
        </w:rPr>
        <w:t>if more substantial appraisals of VDS</w:t>
      </w:r>
      <w:r w:rsidRPr="005E208C">
        <w:rPr>
          <w:rFonts w:ascii="Aptos" w:hAnsi="Aptos"/>
          <w:sz w:val="20"/>
          <w:szCs w:val="20"/>
          <w:highlight w:val="yellow"/>
        </w:rPr>
        <w:t xml:space="preserve"> Lite</w:t>
      </w:r>
      <w:r w:rsidR="004C7278" w:rsidRPr="005E208C">
        <w:rPr>
          <w:rFonts w:ascii="Aptos" w:hAnsi="Aptos"/>
          <w:sz w:val="20"/>
          <w:szCs w:val="20"/>
          <w:highlight w:val="yellow"/>
        </w:rPr>
        <w:t>’s capabilities, capacity and readiness</w:t>
      </w:r>
      <w:r w:rsidR="0039548E" w:rsidRPr="005E208C">
        <w:rPr>
          <w:rFonts w:ascii="Aptos" w:hAnsi="Aptos"/>
          <w:sz w:val="20"/>
          <w:szCs w:val="20"/>
          <w:highlight w:val="yellow"/>
        </w:rPr>
        <w:t xml:space="preserve"> become available</w:t>
      </w:r>
      <w:r w:rsidR="004C7278" w:rsidRPr="005E208C">
        <w:rPr>
          <w:rFonts w:ascii="Aptos" w:hAnsi="Aptos"/>
          <w:sz w:val="20"/>
          <w:szCs w:val="20"/>
          <w:highlight w:val="yellow"/>
        </w:rPr>
        <w:t xml:space="preserve">, </w:t>
      </w:r>
      <w:r w:rsidR="0039548E" w:rsidRPr="005E208C">
        <w:rPr>
          <w:rFonts w:ascii="Aptos" w:hAnsi="Aptos"/>
          <w:sz w:val="20"/>
          <w:szCs w:val="20"/>
          <w:highlight w:val="yellow"/>
        </w:rPr>
        <w:t>it’s suitability</w:t>
      </w:r>
      <w:r w:rsidR="00A01745" w:rsidRPr="005E208C">
        <w:rPr>
          <w:rFonts w:ascii="Aptos" w:hAnsi="Aptos"/>
          <w:sz w:val="20"/>
          <w:szCs w:val="20"/>
          <w:highlight w:val="yellow"/>
        </w:rPr>
        <w:t xml:space="preserve"> should be reconsidered. Until that time, CPFR solutions should not be</w:t>
      </w:r>
      <w:r w:rsidR="0039548E" w:rsidRPr="005E208C">
        <w:rPr>
          <w:rFonts w:ascii="Aptos" w:hAnsi="Aptos"/>
          <w:sz w:val="20"/>
          <w:szCs w:val="20"/>
          <w:highlight w:val="yellow"/>
        </w:rPr>
        <w:t xml:space="preserve"> predicated on VDS Lite</w:t>
      </w:r>
      <w:r w:rsidR="002274C7" w:rsidRPr="005E208C">
        <w:rPr>
          <w:rFonts w:ascii="Aptos" w:hAnsi="Aptos"/>
          <w:sz w:val="20"/>
          <w:szCs w:val="20"/>
          <w:highlight w:val="yellow"/>
        </w:rPr>
        <w:t>.</w:t>
      </w:r>
    </w:p>
    <w:p w14:paraId="27B6E5E8" w14:textId="77777777" w:rsidR="006C74C3" w:rsidRDefault="006C74C3" w:rsidP="006C74C3">
      <w:pPr>
        <w:spacing w:after="0" w:line="264" w:lineRule="auto"/>
        <w:rPr>
          <w:rFonts w:ascii="Aptos" w:hAnsi="Aptos"/>
          <w:sz w:val="20"/>
          <w:szCs w:val="20"/>
        </w:rPr>
      </w:pPr>
    </w:p>
    <w:p w14:paraId="638E9676" w14:textId="7ABF6FDE" w:rsidR="006C74C3" w:rsidRPr="005E208C" w:rsidRDefault="006C74C3" w:rsidP="006C74C3">
      <w:pPr>
        <w:spacing w:after="0" w:line="264" w:lineRule="auto"/>
        <w:rPr>
          <w:rFonts w:ascii="Aptos" w:hAnsi="Aptos"/>
          <w:b/>
          <w:b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sz w:val="20"/>
          <w:szCs w:val="20"/>
          <w:highlight w:val="yellow"/>
        </w:rPr>
        <w:t>Frequently Asked Questions:</w:t>
      </w:r>
    </w:p>
    <w:p w14:paraId="378B6613" w14:textId="6C7BE904" w:rsidR="00421724" w:rsidRPr="005E208C" w:rsidRDefault="006C74C3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Can CPFR be migrated to CPH now—without waiting on </w:t>
      </w:r>
      <w:r w:rsidR="00662F71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data-service</w:t>
      </w: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 build-out</w:t>
      </w:r>
    </w:p>
    <w:p w14:paraId="5C3A24B6" w14:textId="2C1E2610" w:rsidR="006C74C3" w:rsidRPr="005E208C" w:rsidRDefault="00421724" w:rsidP="005A24FC">
      <w:pPr>
        <w:pStyle w:val="ListParagraph"/>
        <w:spacing w:before="60" w:after="120" w:line="264" w:lineRule="auto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sz w:val="20"/>
          <w:szCs w:val="20"/>
          <w:highlight w:val="yellow"/>
        </w:rPr>
        <w:t>Yes, but this doesn’t solve data quality issues, and would actually make it more difficult to isolate and fix errors or misalignment in sources</w:t>
      </w:r>
      <w:r w:rsidR="0039548E" w:rsidRPr="005E208C">
        <w:rPr>
          <w:rFonts w:ascii="Aptos" w:hAnsi="Aptos"/>
          <w:sz w:val="20"/>
          <w:szCs w:val="20"/>
          <w:highlight w:val="yellow"/>
        </w:rPr>
        <w:t>.</w:t>
      </w:r>
    </w:p>
    <w:p w14:paraId="6CACF282" w14:textId="542A64A5" w:rsidR="00421724" w:rsidRPr="005E208C" w:rsidRDefault="006C74C3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Why aren’t we giving all data across VDS, CPFR</w:t>
      </w:r>
      <w:r w:rsidR="00FD021E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 (including its different tiers)</w:t>
      </w: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, and VC to vendors?</w:t>
      </w:r>
    </w:p>
    <w:p w14:paraId="462BD29F" w14:textId="517B1BD0" w:rsidR="00421724" w:rsidRPr="005E208C" w:rsidRDefault="00421724" w:rsidP="005A24FC">
      <w:pPr>
        <w:pStyle w:val="ListParagraph"/>
        <w:spacing w:before="60" w:after="120" w:line="264" w:lineRule="auto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sz w:val="20"/>
          <w:szCs w:val="20"/>
          <w:highlight w:val="yellow"/>
        </w:rPr>
        <w:t xml:space="preserve">The reasons for segregating data-shares are due to observed differences in the </w:t>
      </w:r>
      <w:r w:rsidR="005A24FC" w:rsidRPr="005E208C">
        <w:rPr>
          <w:rFonts w:ascii="Aptos" w:hAnsi="Aptos"/>
          <w:sz w:val="20"/>
          <w:szCs w:val="20"/>
          <w:highlight w:val="yellow"/>
        </w:rPr>
        <w:t xml:space="preserve">analytical </w:t>
      </w:r>
      <w:r w:rsidRPr="005E208C">
        <w:rPr>
          <w:rFonts w:ascii="Aptos" w:hAnsi="Aptos"/>
          <w:sz w:val="20"/>
          <w:szCs w:val="20"/>
          <w:highlight w:val="yellow"/>
        </w:rPr>
        <w:t xml:space="preserve">capabilities of different vendors (think: Nestle vs Mom &amp; Pop), the way that “law of small numbers” can </w:t>
      </w:r>
      <w:r w:rsidR="005A24FC" w:rsidRPr="005E208C">
        <w:rPr>
          <w:rFonts w:ascii="Aptos" w:hAnsi="Aptos"/>
          <w:sz w:val="20"/>
          <w:szCs w:val="20"/>
          <w:highlight w:val="yellow"/>
        </w:rPr>
        <w:t>skew perceptions of trend for small vendors, and the responsibility for managing data-driven adverse-actions among</w:t>
      </w:r>
      <w:r w:rsidR="00FD021E" w:rsidRPr="005E208C">
        <w:rPr>
          <w:rFonts w:ascii="Aptos" w:hAnsi="Aptos"/>
          <w:sz w:val="20"/>
          <w:szCs w:val="20"/>
          <w:highlight w:val="yellow"/>
        </w:rPr>
        <w:t xml:space="preserve"> a</w:t>
      </w:r>
      <w:r w:rsidR="005A24FC" w:rsidRPr="005E208C">
        <w:rPr>
          <w:rFonts w:ascii="Aptos" w:hAnsi="Aptos"/>
          <w:sz w:val="20"/>
          <w:szCs w:val="20"/>
          <w:highlight w:val="yellow"/>
        </w:rPr>
        <w:t xml:space="preserve"> large </w:t>
      </w:r>
      <w:r w:rsidR="00FD021E" w:rsidRPr="005E208C">
        <w:rPr>
          <w:rFonts w:ascii="Aptos" w:hAnsi="Aptos"/>
          <w:sz w:val="20"/>
          <w:szCs w:val="20"/>
          <w:highlight w:val="yellow"/>
        </w:rPr>
        <w:t xml:space="preserve">number of </w:t>
      </w:r>
      <w:r w:rsidR="005A24FC" w:rsidRPr="005E208C">
        <w:rPr>
          <w:rFonts w:ascii="Aptos" w:hAnsi="Aptos"/>
          <w:sz w:val="20"/>
          <w:szCs w:val="20"/>
          <w:highlight w:val="yellow"/>
        </w:rPr>
        <w:t xml:space="preserve">vendors using a relatively smaller In-stock staff. However, reduction of data-sharing segments might further streamline operations </w:t>
      </w:r>
      <w:r w:rsidR="00FD021E" w:rsidRPr="005E208C">
        <w:rPr>
          <w:rFonts w:ascii="Aptos" w:hAnsi="Aptos"/>
          <w:sz w:val="20"/>
          <w:szCs w:val="20"/>
          <w:highlight w:val="yellow"/>
        </w:rPr>
        <w:t>or</w:t>
      </w:r>
      <w:r w:rsidR="005A24FC" w:rsidRPr="005E208C">
        <w:rPr>
          <w:rFonts w:ascii="Aptos" w:hAnsi="Aptos"/>
          <w:sz w:val="20"/>
          <w:szCs w:val="20"/>
          <w:highlight w:val="yellow"/>
        </w:rPr>
        <w:t xml:space="preserve"> open-up opportunities for both vendors and Chewy, so this topic merits periodic reevaluation.</w:t>
      </w:r>
    </w:p>
    <w:p w14:paraId="26AA8061" w14:textId="5746AD8F" w:rsidR="005A24FC" w:rsidRPr="005E208C" w:rsidRDefault="006C74C3" w:rsidP="005A24FC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Why is an external portal better than the emails we currently use for CPFR?</w:t>
      </w:r>
    </w:p>
    <w:p w14:paraId="55374D5B" w14:textId="50160DF8" w:rsidR="005A24FC" w:rsidRPr="005E208C" w:rsidRDefault="005A24FC" w:rsidP="005A24FC">
      <w:pPr>
        <w:pStyle w:val="ListParagraph"/>
        <w:spacing w:before="60" w:after="120" w:line="264" w:lineRule="auto"/>
        <w:rPr>
          <w:rFonts w:ascii="Aptos" w:hAnsi="Aptos"/>
          <w:sz w:val="20"/>
          <w:szCs w:val="20"/>
          <w:highlight w:val="yellow"/>
        </w:rPr>
      </w:pPr>
      <w:r w:rsidRPr="005E208C">
        <w:rPr>
          <w:rFonts w:ascii="Aptos" w:hAnsi="Aptos"/>
          <w:sz w:val="20"/>
          <w:szCs w:val="20"/>
          <w:highlight w:val="yellow"/>
        </w:rPr>
        <w:t>In addition to immediate reductions in CPFR administrative overhead, a single point-of-access vastly improves the consistency of experience for vendors, and simplifies future efforts to improve accuracy, consistency, and cadence of data delivery.</w:t>
      </w:r>
    </w:p>
    <w:p w14:paraId="3AEBDC6B" w14:textId="3DD6D3EE" w:rsidR="006C74C3" w:rsidRPr="005E208C" w:rsidRDefault="006C74C3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Why won’t a portal </w:t>
      </w:r>
      <w:r w:rsidR="003F7586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or external presence </w:t>
      </w: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solve the internal needs </w:t>
      </w:r>
      <w:r w:rsidR="003F7586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of Chew</w:t>
      </w:r>
      <w:r w:rsidR="00ED3E0A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y</w:t>
      </w:r>
      <w:r w:rsidR="003F7586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 In-stock </w:t>
      </w: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as well</w:t>
      </w:r>
      <w:r w:rsidR="00A8756C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, when asking about the same data?</w:t>
      </w:r>
    </w:p>
    <w:p w14:paraId="2BF3AA3E" w14:textId="1DF3C6CB" w:rsidR="00ED3E0A" w:rsidRPr="005E208C" w:rsidRDefault="00ED3E0A" w:rsidP="00ED3E0A">
      <w:pPr>
        <w:pStyle w:val="ListParagraph"/>
        <w:spacing w:before="60" w:after="120" w:line="264" w:lineRule="auto"/>
        <w:rPr>
          <w:rFonts w:ascii="Aptos" w:hAnsi="Aptos"/>
          <w:sz w:val="20"/>
          <w:szCs w:val="20"/>
          <w:highlight w:val="yellow"/>
        </w:rPr>
      </w:pPr>
      <w:r w:rsidRPr="005E208C">
        <w:rPr>
          <w:rFonts w:ascii="Aptos" w:hAnsi="Aptos"/>
          <w:sz w:val="20"/>
          <w:szCs w:val="20"/>
          <w:highlight w:val="yellow"/>
        </w:rPr>
        <w:t xml:space="preserve">While it wouldn’t be a problem for Chewy Team Members to use the a portal for “at a glance” data viewing, </w:t>
      </w:r>
      <w:r w:rsidR="00412249" w:rsidRPr="005E208C">
        <w:rPr>
          <w:rFonts w:ascii="Aptos" w:hAnsi="Aptos"/>
          <w:sz w:val="20"/>
          <w:szCs w:val="20"/>
          <w:highlight w:val="yellow"/>
        </w:rPr>
        <w:t>Chewy TM’s frequently need to combine data for deep-dives, and may have good reasons to substitute alternate data definitions at times (think: different forecast models, fill-rate calculations, etc.)</w:t>
      </w:r>
      <w:r w:rsidR="0039548E" w:rsidRPr="005E208C">
        <w:rPr>
          <w:rFonts w:ascii="Aptos" w:hAnsi="Aptos"/>
          <w:sz w:val="20"/>
          <w:szCs w:val="20"/>
          <w:highlight w:val="yellow"/>
        </w:rPr>
        <w:t>.</w:t>
      </w:r>
    </w:p>
    <w:p w14:paraId="2F93E8B4" w14:textId="6C1299A2" w:rsidR="00A8756C" w:rsidRPr="005E208C" w:rsidRDefault="00A8756C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What is meant by data- “pipeline”, “platform”, or</w:t>
      </w:r>
      <w:r w:rsidR="00662F71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 collectively </w:t>
      </w: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“</w:t>
      </w:r>
      <w:r w:rsidR="00662F71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service</w:t>
      </w: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”? …does this require new business software?</w:t>
      </w:r>
    </w:p>
    <w:p w14:paraId="012853B6" w14:textId="6CF48EB4" w:rsidR="00412249" w:rsidRPr="005E208C" w:rsidRDefault="00412249" w:rsidP="00412249">
      <w:pPr>
        <w:pStyle w:val="ListParagraph"/>
        <w:spacing w:before="60" w:after="120" w:line="264" w:lineRule="auto"/>
        <w:rPr>
          <w:rFonts w:ascii="Aptos" w:hAnsi="Aptos"/>
          <w:sz w:val="20"/>
          <w:szCs w:val="20"/>
          <w:highlight w:val="yellow"/>
        </w:rPr>
      </w:pPr>
      <w:r w:rsidRPr="005E208C">
        <w:rPr>
          <w:rFonts w:ascii="Aptos" w:hAnsi="Aptos"/>
          <w:sz w:val="20"/>
          <w:szCs w:val="20"/>
          <w:highlight w:val="yellow"/>
        </w:rPr>
        <w:t>These terms all refer to data management tools</w:t>
      </w:r>
      <w:r w:rsidR="009C5148" w:rsidRPr="005E208C">
        <w:rPr>
          <w:rFonts w:ascii="Aptos" w:hAnsi="Aptos"/>
          <w:sz w:val="20"/>
          <w:szCs w:val="20"/>
          <w:highlight w:val="yellow"/>
        </w:rPr>
        <w:t xml:space="preserve"> or assets like data tables and queries</w:t>
      </w:r>
      <w:r w:rsidRPr="005E208C">
        <w:rPr>
          <w:rFonts w:ascii="Aptos" w:hAnsi="Aptos"/>
          <w:sz w:val="20"/>
          <w:szCs w:val="20"/>
          <w:highlight w:val="yellow"/>
        </w:rPr>
        <w:t xml:space="preserve"> that “sit” between primary database sources and the final viewer tools (Tableau, et al) or portals. </w:t>
      </w:r>
      <w:r w:rsidR="009C5148" w:rsidRPr="005E208C">
        <w:rPr>
          <w:rFonts w:ascii="Aptos" w:hAnsi="Aptos"/>
          <w:sz w:val="20"/>
          <w:szCs w:val="20"/>
          <w:highlight w:val="yellow"/>
        </w:rPr>
        <w:t>“Pipelines” and “platforms”</w:t>
      </w:r>
      <w:r w:rsidRPr="005E208C">
        <w:rPr>
          <w:rFonts w:ascii="Aptos" w:hAnsi="Aptos"/>
          <w:sz w:val="20"/>
          <w:szCs w:val="20"/>
          <w:highlight w:val="yellow"/>
        </w:rPr>
        <w:t xml:space="preserve"> differ in their </w:t>
      </w:r>
      <w:r w:rsidR="009C5148" w:rsidRPr="005E208C">
        <w:rPr>
          <w:rFonts w:ascii="Aptos" w:hAnsi="Aptos"/>
          <w:sz w:val="20"/>
          <w:szCs w:val="20"/>
          <w:highlight w:val="yellow"/>
        </w:rPr>
        <w:t>approach, and “</w:t>
      </w:r>
      <w:r w:rsidR="00662F71" w:rsidRPr="005E208C">
        <w:rPr>
          <w:rFonts w:ascii="Aptos" w:hAnsi="Aptos"/>
          <w:sz w:val="20"/>
          <w:szCs w:val="20"/>
          <w:highlight w:val="yellow"/>
        </w:rPr>
        <w:t>data-service</w:t>
      </w:r>
      <w:r w:rsidR="009C5148" w:rsidRPr="005E208C">
        <w:rPr>
          <w:rFonts w:ascii="Aptos" w:hAnsi="Aptos"/>
          <w:sz w:val="20"/>
          <w:szCs w:val="20"/>
          <w:highlight w:val="yellow"/>
        </w:rPr>
        <w:t>” is a catch-all term for both—</w:t>
      </w:r>
      <w:r w:rsidRPr="005E208C">
        <w:rPr>
          <w:rFonts w:ascii="Aptos" w:hAnsi="Aptos"/>
          <w:sz w:val="20"/>
          <w:szCs w:val="20"/>
          <w:highlight w:val="yellow"/>
        </w:rPr>
        <w:t xml:space="preserve">but </w:t>
      </w:r>
      <w:r w:rsidR="009C5148" w:rsidRPr="005E208C">
        <w:rPr>
          <w:rFonts w:ascii="Aptos" w:hAnsi="Aptos"/>
          <w:sz w:val="20"/>
          <w:szCs w:val="20"/>
          <w:highlight w:val="yellow"/>
        </w:rPr>
        <w:t>in all cases, these assets</w:t>
      </w:r>
      <w:r w:rsidRPr="005E208C">
        <w:rPr>
          <w:rFonts w:ascii="Aptos" w:hAnsi="Aptos"/>
          <w:sz w:val="20"/>
          <w:szCs w:val="20"/>
          <w:highlight w:val="yellow"/>
        </w:rPr>
        <w:t xml:space="preserve"> seek to pre-aggregate data using clear definitions</w:t>
      </w:r>
      <w:r w:rsidR="009C5148" w:rsidRPr="005E208C">
        <w:rPr>
          <w:rFonts w:ascii="Aptos" w:hAnsi="Aptos"/>
          <w:sz w:val="20"/>
          <w:szCs w:val="20"/>
          <w:highlight w:val="yellow"/>
        </w:rPr>
        <w:t xml:space="preserve"> that </w:t>
      </w:r>
      <w:r w:rsidRPr="005E208C">
        <w:rPr>
          <w:rFonts w:ascii="Aptos" w:hAnsi="Aptos"/>
          <w:sz w:val="20"/>
          <w:szCs w:val="20"/>
          <w:highlight w:val="yellow"/>
        </w:rPr>
        <w:t>avoid inconsistent or errant representations of business data</w:t>
      </w:r>
      <w:r w:rsidR="009C5148" w:rsidRPr="005E208C">
        <w:rPr>
          <w:rFonts w:ascii="Aptos" w:hAnsi="Aptos"/>
          <w:sz w:val="20"/>
          <w:szCs w:val="20"/>
          <w:highlight w:val="yellow"/>
        </w:rPr>
        <w:t xml:space="preserve">. A well-governed </w:t>
      </w:r>
      <w:r w:rsidR="00662F71" w:rsidRPr="005E208C">
        <w:rPr>
          <w:rFonts w:ascii="Aptos" w:hAnsi="Aptos"/>
          <w:sz w:val="20"/>
          <w:szCs w:val="20"/>
          <w:highlight w:val="yellow"/>
        </w:rPr>
        <w:t>data-service</w:t>
      </w:r>
      <w:r w:rsidR="009C5148" w:rsidRPr="005E208C">
        <w:rPr>
          <w:rFonts w:ascii="Aptos" w:hAnsi="Aptos"/>
          <w:sz w:val="20"/>
          <w:szCs w:val="20"/>
          <w:highlight w:val="yellow"/>
        </w:rPr>
        <w:t xml:space="preserve"> also vastly improves the speed of troubleshooting, root-cause analysis, or making tactical changes to CPFR data (think: changing a KPI calculation).</w:t>
      </w:r>
      <w:r w:rsidR="00662F71" w:rsidRPr="005E208C">
        <w:rPr>
          <w:rFonts w:ascii="Aptos" w:hAnsi="Aptos"/>
          <w:sz w:val="20"/>
          <w:szCs w:val="20"/>
          <w:highlight w:val="yellow"/>
        </w:rPr>
        <w:t xml:space="preserve"> Chewy already employs all the business / I.T. tools needed to support CPFR’s data-service needs.</w:t>
      </w:r>
    </w:p>
    <w:p w14:paraId="22FFC5F5" w14:textId="684E3FBF" w:rsidR="00A8756C" w:rsidRPr="005E208C" w:rsidRDefault="00A8756C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What’s the user going to see in a portal?</w:t>
      </w:r>
    </w:p>
    <w:p w14:paraId="50112092" w14:textId="27A876F9" w:rsidR="00412249" w:rsidRPr="005E208C" w:rsidRDefault="009C5148" w:rsidP="00412249">
      <w:pPr>
        <w:pStyle w:val="ListParagraph"/>
        <w:spacing w:before="60" w:after="120" w:line="264" w:lineRule="auto"/>
        <w:rPr>
          <w:rFonts w:ascii="Aptos" w:hAnsi="Aptos"/>
          <w:sz w:val="20"/>
          <w:szCs w:val="20"/>
          <w:highlight w:val="yellow"/>
        </w:rPr>
      </w:pPr>
      <w:r w:rsidRPr="005E208C">
        <w:rPr>
          <w:rFonts w:ascii="Aptos" w:hAnsi="Aptos"/>
          <w:sz w:val="20"/>
          <w:szCs w:val="20"/>
          <w:highlight w:val="yellow"/>
        </w:rPr>
        <w:t xml:space="preserve">The portal can be configured in different ways, but for CPFR purposes the most important thing to showcase is the “last mile” view of the data, after </w:t>
      </w:r>
      <w:r w:rsidR="00662F71" w:rsidRPr="005E208C">
        <w:rPr>
          <w:rFonts w:ascii="Aptos" w:hAnsi="Aptos"/>
          <w:sz w:val="20"/>
          <w:szCs w:val="20"/>
          <w:highlight w:val="yellow"/>
        </w:rPr>
        <w:t>data-service</w:t>
      </w:r>
      <w:r w:rsidRPr="005E208C">
        <w:rPr>
          <w:rFonts w:ascii="Aptos" w:hAnsi="Aptos"/>
          <w:sz w:val="20"/>
          <w:szCs w:val="20"/>
          <w:highlight w:val="yellow"/>
        </w:rPr>
        <w:t>s have transformed and compiled it</w:t>
      </w:r>
      <w:r w:rsidR="0039548E" w:rsidRPr="005E208C">
        <w:rPr>
          <w:rFonts w:ascii="Aptos" w:hAnsi="Aptos"/>
          <w:sz w:val="20"/>
          <w:szCs w:val="20"/>
          <w:highlight w:val="yellow"/>
        </w:rPr>
        <w:t>.</w:t>
      </w:r>
      <w:r w:rsidR="00D023A9" w:rsidRPr="005E208C">
        <w:rPr>
          <w:rFonts w:ascii="Aptos" w:hAnsi="Aptos"/>
          <w:sz w:val="20"/>
          <w:szCs w:val="20"/>
          <w:highlight w:val="yellow"/>
        </w:rPr>
        <w:t xml:space="preserve"> This will resemble the tables sent in emails, but with more advanced ability to filter, and summarize.</w:t>
      </w:r>
    </w:p>
    <w:p w14:paraId="26A7B344" w14:textId="6BDBAD90" w:rsidR="00A8756C" w:rsidRPr="005E208C" w:rsidRDefault="00A8756C" w:rsidP="00421724">
      <w:pPr>
        <w:pStyle w:val="ListParagraph"/>
        <w:numPr>
          <w:ilvl w:val="0"/>
          <w:numId w:val="31"/>
        </w:numPr>
        <w:spacing w:before="60" w:after="120" w:line="264" w:lineRule="auto"/>
        <w:ind w:left="360" w:hanging="274"/>
        <w:rPr>
          <w:rFonts w:ascii="Aptos" w:hAnsi="Aptos"/>
          <w:b/>
          <w:bCs/>
          <w:i/>
          <w:iCs/>
          <w:sz w:val="20"/>
          <w:szCs w:val="20"/>
          <w:highlight w:val="yellow"/>
        </w:rPr>
      </w:pP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What is the Chewy Team Member’s experience </w:t>
      </w:r>
      <w:r w:rsidR="003F7586"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 xml:space="preserve">accessing data </w:t>
      </w:r>
      <w:r w:rsidRPr="005E208C">
        <w:rPr>
          <w:rFonts w:ascii="Aptos" w:hAnsi="Aptos"/>
          <w:b/>
          <w:bCs/>
          <w:i/>
          <w:iCs/>
          <w:sz w:val="20"/>
          <w:szCs w:val="20"/>
          <w:highlight w:val="yellow"/>
        </w:rPr>
        <w:t>in these different cases?</w:t>
      </w:r>
    </w:p>
    <w:p w14:paraId="312BC085" w14:textId="3C9A8838" w:rsidR="006C74C3" w:rsidRPr="006C74C3" w:rsidRDefault="009C5148" w:rsidP="0039548E">
      <w:pPr>
        <w:pStyle w:val="ListParagraph"/>
        <w:spacing w:before="60" w:after="120" w:line="264" w:lineRule="auto"/>
        <w:rPr>
          <w:rFonts w:ascii="Aptos" w:hAnsi="Aptos"/>
          <w:sz w:val="20"/>
          <w:szCs w:val="20"/>
        </w:rPr>
      </w:pPr>
      <w:r w:rsidRPr="005E208C">
        <w:rPr>
          <w:rFonts w:ascii="Aptos" w:hAnsi="Aptos"/>
          <w:sz w:val="20"/>
          <w:szCs w:val="20"/>
          <w:highlight w:val="yellow"/>
        </w:rPr>
        <w:t xml:space="preserve">Chewy Team Members should retain their ability to access data independently from the portal. However, the use-cases for CPFR present an unusually acute need for well-defined, and consistent data sources. With this in mind, Chewy TMs would benefit from </w:t>
      </w:r>
      <w:r w:rsidR="00662F71" w:rsidRPr="005E208C">
        <w:rPr>
          <w:rFonts w:ascii="Aptos" w:hAnsi="Aptos"/>
          <w:sz w:val="20"/>
          <w:szCs w:val="20"/>
          <w:highlight w:val="yellow"/>
        </w:rPr>
        <w:t>data-service</w:t>
      </w:r>
      <w:r w:rsidRPr="005E208C">
        <w:rPr>
          <w:rFonts w:ascii="Aptos" w:hAnsi="Aptos"/>
          <w:sz w:val="20"/>
          <w:szCs w:val="20"/>
          <w:highlight w:val="yellow"/>
        </w:rPr>
        <w:t xml:space="preserve"> assets as well, albeit with broader access</w:t>
      </w:r>
      <w:r w:rsidR="0039548E" w:rsidRPr="005E208C">
        <w:rPr>
          <w:rFonts w:ascii="Aptos" w:hAnsi="Aptos"/>
          <w:sz w:val="20"/>
          <w:szCs w:val="20"/>
          <w:highlight w:val="yellow"/>
        </w:rPr>
        <w:t>.</w:t>
      </w:r>
    </w:p>
    <w:sectPr w:rsidR="006C74C3" w:rsidRPr="006C74C3" w:rsidSect="00737FC7">
      <w:headerReference w:type="default" r:id="rId8"/>
      <w:footerReference w:type="default" r:id="rId9"/>
      <w:pgSz w:w="15840" w:h="12240" w:orient="landscape"/>
      <w:pgMar w:top="720" w:right="720" w:bottom="90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AC2F8" w14:textId="77777777" w:rsidR="00602B31" w:rsidRDefault="00602B31" w:rsidP="00100AFF">
      <w:pPr>
        <w:spacing w:after="0" w:line="240" w:lineRule="auto"/>
      </w:pPr>
      <w:r>
        <w:separator/>
      </w:r>
    </w:p>
  </w:endnote>
  <w:endnote w:type="continuationSeparator" w:id="0">
    <w:p w14:paraId="78FAB88C" w14:textId="77777777" w:rsidR="00602B31" w:rsidRDefault="00602B31" w:rsidP="00100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A006CB6-1278-49C3-85AA-39AC51017538}"/>
    <w:embedBold r:id="rId2" w:fontKey="{CE49DA28-84B1-4943-B2A7-36A6292BDFA9}"/>
    <w:embedItalic r:id="rId3" w:fontKey="{F170B643-4B14-4DB4-BBC3-1AD8D5F8B204}"/>
    <w:embedBoldItalic r:id="rId4" w:fontKey="{7A9F34A0-6FB3-4A25-966F-F91729B27EF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B0E30F11-B8B3-49FE-B4FD-E6D5848F5A29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6" w:fontKey="{1BEB74DA-9747-43D5-939C-728242E1376F}"/>
    <w:embedBold r:id="rId7" w:fontKey="{CB6FD00D-3CF1-4C8B-939F-3D6473773F66}"/>
    <w:embedItalic r:id="rId8" w:fontKey="{38EC34E8-E03E-4FA8-B35B-48C200A74207}"/>
    <w:embedBoldItalic r:id="rId9" w:fontKey="{EFE92939-A456-49E8-9480-0B74596A8B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E29B3" w14:textId="5ADDD33D" w:rsidR="00100AFF" w:rsidRDefault="009F7627" w:rsidP="009138B6">
    <w:pPr>
      <w:pStyle w:val="Footer"/>
      <w:tabs>
        <w:tab w:val="clear" w:pos="4680"/>
        <w:tab w:val="clear" w:pos="9360"/>
        <w:tab w:val="center" w:pos="7200"/>
        <w:tab w:val="right" w:pos="14310"/>
      </w:tabs>
    </w:pPr>
    <w:r w:rsidRPr="00DB7653">
      <w:rPr>
        <w:noProof/>
        <w:sz w:val="20"/>
        <w:szCs w:val="20"/>
      </w:rPr>
      <w:drawing>
        <wp:anchor distT="0" distB="0" distL="114300" distR="114300" simplePos="0" relativeHeight="251662336" behindDoc="0" locked="0" layoutInCell="1" allowOverlap="1" wp14:anchorId="13782E10" wp14:editId="6488D814">
          <wp:simplePos x="0" y="0"/>
          <wp:positionH relativeFrom="margin">
            <wp:align>center</wp:align>
          </wp:positionH>
          <wp:positionV relativeFrom="paragraph">
            <wp:posOffset>-34925</wp:posOffset>
          </wp:positionV>
          <wp:extent cx="873760" cy="274320"/>
          <wp:effectExtent l="0" t="0" r="2540" b="0"/>
          <wp:wrapNone/>
          <wp:docPr id="950205352" name="Picture 1" descr="A blue text on a black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78890" name="Picture 1" descr="A blue text on a black background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3760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B40F0">
      <w:rPr>
        <w:sz w:val="20"/>
        <w:szCs w:val="20"/>
      </w:rPr>
      <w:t xml:space="preserve">Comparison: </w:t>
    </w:r>
    <w:r w:rsidRPr="00DB7653">
      <w:rPr>
        <w:sz w:val="20"/>
        <w:szCs w:val="20"/>
      </w:rPr>
      <w:t>CPFR</w:t>
    </w:r>
    <w:r w:rsidR="00344718">
      <w:rPr>
        <w:sz w:val="20"/>
        <w:szCs w:val="20"/>
      </w:rPr>
      <w:t xml:space="preserve"> </w:t>
    </w:r>
    <w:r w:rsidR="005B40F0">
      <w:rPr>
        <w:sz w:val="20"/>
        <w:szCs w:val="20"/>
      </w:rPr>
      <w:t>Alternatives</w:t>
    </w:r>
    <w:r w:rsidRPr="00DB7653">
      <w:rPr>
        <w:sz w:val="20"/>
        <w:szCs w:val="20"/>
      </w:rPr>
      <w:tab/>
    </w:r>
    <w:r w:rsidR="00DB7653">
      <w:rPr>
        <w:sz w:val="20"/>
        <w:szCs w:val="20"/>
      </w:rPr>
      <w:tab/>
    </w:r>
    <w:r w:rsidRPr="00DB7653">
      <w:rPr>
        <w:sz w:val="20"/>
        <w:szCs w:val="20"/>
      </w:rPr>
      <w:t>2025-0</w:t>
    </w:r>
    <w:r w:rsidR="00CB4D8D">
      <w:rPr>
        <w:sz w:val="20"/>
        <w:szCs w:val="20"/>
      </w:rPr>
      <w:t>8</w:t>
    </w:r>
    <w:r w:rsidRPr="00DB7653">
      <w:rPr>
        <w:sz w:val="20"/>
        <w:szCs w:val="20"/>
      </w:rPr>
      <w:t>-</w:t>
    </w:r>
    <w:r w:rsidR="000E0F53">
      <w:rPr>
        <w:sz w:val="20"/>
        <w:szCs w:val="20"/>
      </w:rPr>
      <w:t>27</w:t>
    </w:r>
    <w:r w:rsidR="00344718">
      <w:rPr>
        <w:sz w:val="20"/>
        <w:szCs w:val="20"/>
      </w:rPr>
      <w:t>,</w:t>
    </w:r>
    <w:r w:rsidRPr="00DB7653">
      <w:rPr>
        <w:sz w:val="20"/>
        <w:szCs w:val="20"/>
      </w:rPr>
      <w:t xml:space="preserve"> nmiles1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06FC5" w14:textId="77777777" w:rsidR="00602B31" w:rsidRDefault="00602B31" w:rsidP="00100AFF">
      <w:pPr>
        <w:spacing w:after="0" w:line="240" w:lineRule="auto"/>
      </w:pPr>
      <w:r>
        <w:separator/>
      </w:r>
    </w:p>
  </w:footnote>
  <w:footnote w:type="continuationSeparator" w:id="0">
    <w:p w14:paraId="0182F46F" w14:textId="77777777" w:rsidR="00602B31" w:rsidRDefault="00602B31" w:rsidP="00100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2A248" w14:textId="4738A646" w:rsidR="00CB4D8D" w:rsidRPr="005B40F0" w:rsidRDefault="005B40F0" w:rsidP="005B40F0">
    <w:pPr>
      <w:pStyle w:val="Header"/>
    </w:pPr>
    <w:r w:rsidRPr="005B40F0">
      <w:rPr>
        <w:b/>
        <w:bCs/>
        <w:sz w:val="32"/>
        <w:szCs w:val="32"/>
      </w:rPr>
      <w:t xml:space="preserve">CPFR Data-Sharing: Current State &amp; </w:t>
    </w:r>
    <w:r>
      <w:rPr>
        <w:b/>
        <w:bCs/>
        <w:sz w:val="32"/>
        <w:szCs w:val="32"/>
      </w:rPr>
      <w:t>Candidate</w:t>
    </w:r>
    <w:r w:rsidRPr="005B40F0">
      <w:rPr>
        <w:b/>
        <w:bCs/>
        <w:sz w:val="32"/>
        <w:szCs w:val="32"/>
      </w:rPr>
      <w:t xml:space="preserve"> Alternative</w:t>
    </w:r>
    <w:r>
      <w:rPr>
        <w:b/>
        <w:bCs/>
        <w:sz w:val="32"/>
        <w:szCs w:val="32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25DA"/>
    <w:multiLevelType w:val="hybridMultilevel"/>
    <w:tmpl w:val="D37E3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D254F"/>
    <w:multiLevelType w:val="hybridMultilevel"/>
    <w:tmpl w:val="05AE4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13A31"/>
    <w:multiLevelType w:val="hybridMultilevel"/>
    <w:tmpl w:val="33469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62315"/>
    <w:multiLevelType w:val="hybridMultilevel"/>
    <w:tmpl w:val="197AC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D7077"/>
    <w:multiLevelType w:val="hybridMultilevel"/>
    <w:tmpl w:val="BA943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8457A"/>
    <w:multiLevelType w:val="hybridMultilevel"/>
    <w:tmpl w:val="43C68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9358B"/>
    <w:multiLevelType w:val="hybridMultilevel"/>
    <w:tmpl w:val="D37E3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77723"/>
    <w:multiLevelType w:val="hybridMultilevel"/>
    <w:tmpl w:val="71483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A09CB"/>
    <w:multiLevelType w:val="hybridMultilevel"/>
    <w:tmpl w:val="DFCE9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74222"/>
    <w:multiLevelType w:val="hybridMultilevel"/>
    <w:tmpl w:val="D22A16B8"/>
    <w:lvl w:ilvl="0" w:tplc="B4FC958E">
      <w:numFmt w:val="bullet"/>
      <w:lvlText w:val=""/>
      <w:lvlJc w:val="left"/>
      <w:pPr>
        <w:ind w:left="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0" w15:restartNumberingAfterBreak="0">
    <w:nsid w:val="2D223712"/>
    <w:multiLevelType w:val="hybridMultilevel"/>
    <w:tmpl w:val="77E065C2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1" w15:restartNumberingAfterBreak="0">
    <w:nsid w:val="3B073FE0"/>
    <w:multiLevelType w:val="hybridMultilevel"/>
    <w:tmpl w:val="ECCE5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EC2E54"/>
    <w:multiLevelType w:val="hybridMultilevel"/>
    <w:tmpl w:val="01A8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8D3C34"/>
    <w:multiLevelType w:val="hybridMultilevel"/>
    <w:tmpl w:val="88DA8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6D139A"/>
    <w:multiLevelType w:val="hybridMultilevel"/>
    <w:tmpl w:val="3DF8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367D72"/>
    <w:multiLevelType w:val="hybridMultilevel"/>
    <w:tmpl w:val="ACF0F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4659E"/>
    <w:multiLevelType w:val="hybridMultilevel"/>
    <w:tmpl w:val="6FB02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856C37"/>
    <w:multiLevelType w:val="hybridMultilevel"/>
    <w:tmpl w:val="B5AC3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FF0D4A"/>
    <w:multiLevelType w:val="hybridMultilevel"/>
    <w:tmpl w:val="05FAA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B6520"/>
    <w:multiLevelType w:val="hybridMultilevel"/>
    <w:tmpl w:val="6CE4C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87E"/>
    <w:multiLevelType w:val="hybridMultilevel"/>
    <w:tmpl w:val="D37E3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2961F6"/>
    <w:multiLevelType w:val="hybridMultilevel"/>
    <w:tmpl w:val="E4566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CF1C53"/>
    <w:multiLevelType w:val="hybridMultilevel"/>
    <w:tmpl w:val="9BCA4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E6452"/>
    <w:multiLevelType w:val="hybridMultilevel"/>
    <w:tmpl w:val="F7E26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73E76"/>
    <w:multiLevelType w:val="hybridMultilevel"/>
    <w:tmpl w:val="ED78C3F8"/>
    <w:lvl w:ilvl="0" w:tplc="AB8CA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FA51B6"/>
    <w:multiLevelType w:val="hybridMultilevel"/>
    <w:tmpl w:val="D4A2F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D430D3"/>
    <w:multiLevelType w:val="hybridMultilevel"/>
    <w:tmpl w:val="808E5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2644E3"/>
    <w:multiLevelType w:val="hybridMultilevel"/>
    <w:tmpl w:val="16BA2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862E33"/>
    <w:multiLevelType w:val="hybridMultilevel"/>
    <w:tmpl w:val="47029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DF2689"/>
    <w:multiLevelType w:val="hybridMultilevel"/>
    <w:tmpl w:val="0896B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B04AEC"/>
    <w:multiLevelType w:val="hybridMultilevel"/>
    <w:tmpl w:val="F4D68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516870">
    <w:abstractNumId w:val="4"/>
  </w:num>
  <w:num w:numId="2" w16cid:durableId="197741094">
    <w:abstractNumId w:val="23"/>
  </w:num>
  <w:num w:numId="3" w16cid:durableId="2088575640">
    <w:abstractNumId w:val="19"/>
  </w:num>
  <w:num w:numId="4" w16cid:durableId="2022007468">
    <w:abstractNumId w:val="8"/>
  </w:num>
  <w:num w:numId="5" w16cid:durableId="624702745">
    <w:abstractNumId w:val="13"/>
  </w:num>
  <w:num w:numId="6" w16cid:durableId="155540045">
    <w:abstractNumId w:val="1"/>
  </w:num>
  <w:num w:numId="7" w16cid:durableId="1540242818">
    <w:abstractNumId w:val="27"/>
  </w:num>
  <w:num w:numId="8" w16cid:durableId="620842645">
    <w:abstractNumId w:val="22"/>
  </w:num>
  <w:num w:numId="9" w16cid:durableId="1549956572">
    <w:abstractNumId w:val="14"/>
  </w:num>
  <w:num w:numId="10" w16cid:durableId="1349991987">
    <w:abstractNumId w:val="29"/>
  </w:num>
  <w:num w:numId="11" w16cid:durableId="273560685">
    <w:abstractNumId w:val="30"/>
  </w:num>
  <w:num w:numId="12" w16cid:durableId="1032342408">
    <w:abstractNumId w:val="28"/>
  </w:num>
  <w:num w:numId="13" w16cid:durableId="1693263376">
    <w:abstractNumId w:val="6"/>
  </w:num>
  <w:num w:numId="14" w16cid:durableId="810093138">
    <w:abstractNumId w:val="2"/>
  </w:num>
  <w:num w:numId="15" w16cid:durableId="1741098214">
    <w:abstractNumId w:val="26"/>
  </w:num>
  <w:num w:numId="16" w16cid:durableId="1229922938">
    <w:abstractNumId w:val="17"/>
  </w:num>
  <w:num w:numId="17" w16cid:durableId="690179108">
    <w:abstractNumId w:val="12"/>
  </w:num>
  <w:num w:numId="18" w16cid:durableId="1158424575">
    <w:abstractNumId w:val="3"/>
  </w:num>
  <w:num w:numId="19" w16cid:durableId="711922965">
    <w:abstractNumId w:val="20"/>
  </w:num>
  <w:num w:numId="20" w16cid:durableId="1312754189">
    <w:abstractNumId w:val="0"/>
  </w:num>
  <w:num w:numId="21" w16cid:durableId="301350309">
    <w:abstractNumId w:val="5"/>
  </w:num>
  <w:num w:numId="22" w16cid:durableId="1772627597">
    <w:abstractNumId w:val="11"/>
  </w:num>
  <w:num w:numId="23" w16cid:durableId="1264457684">
    <w:abstractNumId w:val="16"/>
  </w:num>
  <w:num w:numId="24" w16cid:durableId="618150030">
    <w:abstractNumId w:val="25"/>
  </w:num>
  <w:num w:numId="25" w16cid:durableId="1543710856">
    <w:abstractNumId w:val="10"/>
  </w:num>
  <w:num w:numId="26" w16cid:durableId="1441947413">
    <w:abstractNumId w:val="24"/>
  </w:num>
  <w:num w:numId="27" w16cid:durableId="663624436">
    <w:abstractNumId w:val="15"/>
  </w:num>
  <w:num w:numId="28" w16cid:durableId="1121268371">
    <w:abstractNumId w:val="21"/>
  </w:num>
  <w:num w:numId="29" w16cid:durableId="1556770954">
    <w:abstractNumId w:val="7"/>
  </w:num>
  <w:num w:numId="30" w16cid:durableId="988284130">
    <w:abstractNumId w:val="18"/>
  </w:num>
  <w:num w:numId="31" w16cid:durableId="1481325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02"/>
    <w:rsid w:val="00010005"/>
    <w:rsid w:val="00031913"/>
    <w:rsid w:val="000652E8"/>
    <w:rsid w:val="00083901"/>
    <w:rsid w:val="00087C5D"/>
    <w:rsid w:val="000B3723"/>
    <w:rsid w:val="000B4463"/>
    <w:rsid w:val="000E0F53"/>
    <w:rsid w:val="000E6806"/>
    <w:rsid w:val="00100AFF"/>
    <w:rsid w:val="00126C08"/>
    <w:rsid w:val="00137F1A"/>
    <w:rsid w:val="00141C20"/>
    <w:rsid w:val="00157602"/>
    <w:rsid w:val="00194CFE"/>
    <w:rsid w:val="001B19E3"/>
    <w:rsid w:val="00220FD2"/>
    <w:rsid w:val="00224B12"/>
    <w:rsid w:val="002274C7"/>
    <w:rsid w:val="002328DB"/>
    <w:rsid w:val="00243839"/>
    <w:rsid w:val="00244DDE"/>
    <w:rsid w:val="00246843"/>
    <w:rsid w:val="00280332"/>
    <w:rsid w:val="00282AA9"/>
    <w:rsid w:val="00291BB9"/>
    <w:rsid w:val="0029388A"/>
    <w:rsid w:val="002D4E32"/>
    <w:rsid w:val="002D536A"/>
    <w:rsid w:val="00312EC4"/>
    <w:rsid w:val="003306FC"/>
    <w:rsid w:val="00331471"/>
    <w:rsid w:val="00344718"/>
    <w:rsid w:val="003460A7"/>
    <w:rsid w:val="0037301E"/>
    <w:rsid w:val="00385AE9"/>
    <w:rsid w:val="0039548E"/>
    <w:rsid w:val="003F2D5A"/>
    <w:rsid w:val="003F7586"/>
    <w:rsid w:val="00412249"/>
    <w:rsid w:val="00421724"/>
    <w:rsid w:val="0042587B"/>
    <w:rsid w:val="00445CFF"/>
    <w:rsid w:val="00452DD1"/>
    <w:rsid w:val="00455B19"/>
    <w:rsid w:val="00461902"/>
    <w:rsid w:val="0047279C"/>
    <w:rsid w:val="004B339C"/>
    <w:rsid w:val="004B57A3"/>
    <w:rsid w:val="004C2CB8"/>
    <w:rsid w:val="004C7278"/>
    <w:rsid w:val="004F4685"/>
    <w:rsid w:val="00506730"/>
    <w:rsid w:val="00521237"/>
    <w:rsid w:val="00525E4C"/>
    <w:rsid w:val="00544AF0"/>
    <w:rsid w:val="00562D61"/>
    <w:rsid w:val="005720B7"/>
    <w:rsid w:val="00582EEC"/>
    <w:rsid w:val="00586BF1"/>
    <w:rsid w:val="005A24FC"/>
    <w:rsid w:val="005B0CFD"/>
    <w:rsid w:val="005B40F0"/>
    <w:rsid w:val="005C70BB"/>
    <w:rsid w:val="005E208C"/>
    <w:rsid w:val="00602B31"/>
    <w:rsid w:val="00624458"/>
    <w:rsid w:val="00630EEB"/>
    <w:rsid w:val="00662F71"/>
    <w:rsid w:val="006C4488"/>
    <w:rsid w:val="006C74C3"/>
    <w:rsid w:val="00713082"/>
    <w:rsid w:val="007133A5"/>
    <w:rsid w:val="00737FC7"/>
    <w:rsid w:val="0076149B"/>
    <w:rsid w:val="0077384B"/>
    <w:rsid w:val="00781A8F"/>
    <w:rsid w:val="007877AD"/>
    <w:rsid w:val="007A1892"/>
    <w:rsid w:val="007A7BD2"/>
    <w:rsid w:val="007C331F"/>
    <w:rsid w:val="00800FF2"/>
    <w:rsid w:val="0081610A"/>
    <w:rsid w:val="00887524"/>
    <w:rsid w:val="008E514D"/>
    <w:rsid w:val="009138B6"/>
    <w:rsid w:val="00946454"/>
    <w:rsid w:val="0099175C"/>
    <w:rsid w:val="00997A71"/>
    <w:rsid w:val="009A4623"/>
    <w:rsid w:val="009A6681"/>
    <w:rsid w:val="009B224A"/>
    <w:rsid w:val="009C5148"/>
    <w:rsid w:val="009D78AF"/>
    <w:rsid w:val="009F0A8A"/>
    <w:rsid w:val="009F3E52"/>
    <w:rsid w:val="009F7627"/>
    <w:rsid w:val="00A01745"/>
    <w:rsid w:val="00A06EDE"/>
    <w:rsid w:val="00A073CC"/>
    <w:rsid w:val="00A8756C"/>
    <w:rsid w:val="00A92200"/>
    <w:rsid w:val="00AA3A39"/>
    <w:rsid w:val="00AB4695"/>
    <w:rsid w:val="00AC2404"/>
    <w:rsid w:val="00AF2BBE"/>
    <w:rsid w:val="00AF738A"/>
    <w:rsid w:val="00B11033"/>
    <w:rsid w:val="00B149B5"/>
    <w:rsid w:val="00B3165B"/>
    <w:rsid w:val="00BD0317"/>
    <w:rsid w:val="00C55901"/>
    <w:rsid w:val="00C87236"/>
    <w:rsid w:val="00C94DBE"/>
    <w:rsid w:val="00CB4D8D"/>
    <w:rsid w:val="00CC27F2"/>
    <w:rsid w:val="00CD2E14"/>
    <w:rsid w:val="00CE4E1A"/>
    <w:rsid w:val="00D023A9"/>
    <w:rsid w:val="00D120D8"/>
    <w:rsid w:val="00D2571F"/>
    <w:rsid w:val="00D343FD"/>
    <w:rsid w:val="00D542F7"/>
    <w:rsid w:val="00D722DF"/>
    <w:rsid w:val="00DA3511"/>
    <w:rsid w:val="00DB7653"/>
    <w:rsid w:val="00DD7488"/>
    <w:rsid w:val="00DD74A1"/>
    <w:rsid w:val="00E1358D"/>
    <w:rsid w:val="00E70703"/>
    <w:rsid w:val="00E86F36"/>
    <w:rsid w:val="00E9172B"/>
    <w:rsid w:val="00EA062E"/>
    <w:rsid w:val="00EA6146"/>
    <w:rsid w:val="00EB5E21"/>
    <w:rsid w:val="00EC1B35"/>
    <w:rsid w:val="00ED0569"/>
    <w:rsid w:val="00ED3E0A"/>
    <w:rsid w:val="00F91F7F"/>
    <w:rsid w:val="00F9531E"/>
    <w:rsid w:val="00FB4171"/>
    <w:rsid w:val="00FD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C12D1"/>
  <w15:chartTrackingRefBased/>
  <w15:docId w15:val="{50FFABE1-A4FC-4B33-8945-38485A1F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6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6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6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6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6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6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6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6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6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6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60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0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FF"/>
  </w:style>
  <w:style w:type="paragraph" w:styleId="Footer">
    <w:name w:val="footer"/>
    <w:basedOn w:val="Normal"/>
    <w:link w:val="FooterChar"/>
    <w:uiPriority w:val="99"/>
    <w:unhideWhenUsed/>
    <w:rsid w:val="00100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FB48C-C91F-496F-B149-74427D18742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9879b8e-3b16-427d-902a-05eda342f629}" enabled="0" method="" siteId="{99879b8e-3b16-427d-902a-05eda342f62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4</Pages>
  <Words>1807</Words>
  <Characters>10300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Miles</dc:creator>
  <cp:keywords/>
  <dc:description/>
  <cp:lastModifiedBy>Nathan Miles</cp:lastModifiedBy>
  <cp:revision>16</cp:revision>
  <cp:lastPrinted>2025-08-14T20:22:00Z</cp:lastPrinted>
  <dcterms:created xsi:type="dcterms:W3CDTF">2025-08-27T07:05:00Z</dcterms:created>
  <dcterms:modified xsi:type="dcterms:W3CDTF">2025-08-28T01:28:00Z</dcterms:modified>
</cp:coreProperties>
</file>