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64B8" w14:textId="77777777" w:rsidR="00C63BA8" w:rsidRDefault="00000000">
      <w:pPr>
        <w:pStyle w:val="Heading1"/>
      </w:pPr>
      <w:bookmarkStart w:id="0" w:name="X4cb0746e1e3fe17c8271e3754bb90fdad462374"/>
      <w:r>
        <w:t>CPFR 2026 Vision Document - Proposed Augmentations</w:t>
      </w:r>
    </w:p>
    <w:p w14:paraId="4EFEBF2B" w14:textId="77777777" w:rsidR="00FD48D6" w:rsidRPr="00FD48D6" w:rsidRDefault="00FD48D6" w:rsidP="00FD48D6">
      <w:pPr>
        <w:pStyle w:val="BodyText"/>
      </w:pPr>
    </w:p>
    <w:p w14:paraId="012A7C73" w14:textId="59ED0B21" w:rsidR="00C63BA8" w:rsidRDefault="00000000" w:rsidP="00FD48D6">
      <w:pPr>
        <w:pStyle w:val="FirstParagraph"/>
      </w:pPr>
      <w:r>
        <w:rPr>
          <w:b/>
          <w:bCs/>
        </w:rPr>
        <w:t>Purpose</w:t>
      </w:r>
      <w:r>
        <w:t xml:space="preserve">: Targeted insertions to augment the existing CPFR 2026 Vision Shared.pdf </w:t>
      </w:r>
      <w:r>
        <w:rPr>
          <w:b/>
          <w:bCs/>
        </w:rPr>
        <w:t>Format</w:t>
      </w:r>
      <w:r>
        <w:t xml:space="preserve">: Each augmentation specifies location, type (INSERT/REPLACE/EXPAND), and proposed content </w:t>
      </w:r>
      <w:r>
        <w:rPr>
          <w:b/>
          <w:bCs/>
        </w:rPr>
        <w:t>Review Status</w:t>
      </w:r>
      <w:r>
        <w:t>: Draft for discussion</w:t>
      </w:r>
    </w:p>
    <w:p w14:paraId="55F505D1" w14:textId="77777777" w:rsidR="00C63BA8" w:rsidRDefault="00000000">
      <w:pPr>
        <w:pStyle w:val="Heading2"/>
      </w:pPr>
      <w:bookmarkStart w:id="1" w:name="X9834d7d6fc1287c9aca1da4204058691bc3ce9c"/>
      <w:r>
        <w:t>Augmentation 1: Section 2 (CPFR Today) - Scale Trajectory</w:t>
      </w:r>
    </w:p>
    <w:p w14:paraId="33ED0C0D" w14:textId="77777777" w:rsidR="00C63BA8" w:rsidRDefault="00000000">
      <w:pPr>
        <w:pStyle w:val="FirstParagraph"/>
      </w:pPr>
      <w:r>
        <w:rPr>
          <w:b/>
          <w:bCs/>
        </w:rPr>
        <w:t>Location</w:t>
      </w:r>
      <w:r>
        <w:t>: After line 26, following “…more than 2,300 vendors.”</w:t>
      </w:r>
    </w:p>
    <w:p w14:paraId="27F42DF5" w14:textId="77777777" w:rsidR="00C63BA8" w:rsidRDefault="00000000">
      <w:pPr>
        <w:pStyle w:val="BodyText"/>
      </w:pPr>
      <w:r>
        <w:rPr>
          <w:b/>
          <w:bCs/>
        </w:rPr>
        <w:t>Type</w:t>
      </w:r>
      <w:r>
        <w:t>: INSERT</w:t>
      </w:r>
    </w:p>
    <w:p w14:paraId="5D93E4AC" w14:textId="4A3941FB" w:rsidR="00C63BA8" w:rsidRDefault="00000000">
      <w:pPr>
        <w:pStyle w:val="BodyText"/>
      </w:pPr>
      <w:r>
        <w:rPr>
          <w:b/>
          <w:bCs/>
        </w:rPr>
        <w:t>Proposed Content</w:t>
      </w:r>
      <w:r>
        <w:t>: This footprint continues to expand. Over the past year, CPFR onboarded more than 1,100 new vendors, including significant growth in direct-ship coverage, and the program is on trajectory to support upwards of 5,000 active vendor relationships within the next several years. This growth reinforces the urgency of moving beyond manual coordination models that cannot scale proportionally.</w:t>
      </w:r>
    </w:p>
    <w:p w14:paraId="79C91502" w14:textId="46E534BC" w:rsidR="00C63BA8" w:rsidRDefault="00000000" w:rsidP="00FD48D6">
      <w:pPr>
        <w:pStyle w:val="BodyText"/>
      </w:pPr>
      <w:r>
        <w:rPr>
          <w:b/>
          <w:bCs/>
        </w:rPr>
        <w:t>Rationale</w:t>
      </w:r>
      <w:r>
        <w:t>: Establishes the growth trajectory (2,300 → 3,700+ → 5,000) using directional language while grounding it in real data. Connects scale directly to the “Operating Truths” theme that manual processes are transitional.</w:t>
      </w:r>
    </w:p>
    <w:p w14:paraId="3237EED4" w14:textId="77777777" w:rsidR="00C63BA8" w:rsidRDefault="00000000">
      <w:pPr>
        <w:pStyle w:val="Heading2"/>
      </w:pPr>
      <w:bookmarkStart w:id="2" w:name="Xf330aa083cf937e6d2d9ebe25c2e2a92c9fb71e"/>
      <w:bookmarkEnd w:id="1"/>
      <w:r>
        <w:t>Augmentation 2: Section 3 (Operating Truths) - Proximality Introduction</w:t>
      </w:r>
    </w:p>
    <w:p w14:paraId="26D213A8" w14:textId="77777777" w:rsidR="00C63BA8" w:rsidRDefault="00000000">
      <w:pPr>
        <w:pStyle w:val="FirstParagraph"/>
      </w:pPr>
      <w:r>
        <w:rPr>
          <w:b/>
          <w:bCs/>
        </w:rPr>
        <w:t>Location</w:t>
      </w:r>
      <w:r>
        <w:t>: After line 65, following “…even when the level of engagement differs.” (end of Section 3)</w:t>
      </w:r>
    </w:p>
    <w:p w14:paraId="6448E94C" w14:textId="77777777" w:rsidR="00C63BA8" w:rsidRDefault="00000000">
      <w:pPr>
        <w:pStyle w:val="BodyText"/>
      </w:pPr>
      <w:r>
        <w:rPr>
          <w:b/>
          <w:bCs/>
        </w:rPr>
        <w:t>Type</w:t>
      </w:r>
      <w:r>
        <w:t>: INSERT (new paragraph before Section 4)</w:t>
      </w:r>
    </w:p>
    <w:p w14:paraId="5C2AFD92" w14:textId="03A50B60" w:rsidR="00C63BA8" w:rsidRDefault="00000000">
      <w:pPr>
        <w:pStyle w:val="BodyText"/>
      </w:pPr>
      <w:r>
        <w:rPr>
          <w:b/>
          <w:bCs/>
        </w:rPr>
        <w:t>Proposed Content</w:t>
      </w:r>
      <w:r>
        <w:t>: Underlying these truths is a principle that shapes how CPFR evaluates capability investments: “proximality” - the degree to which data, decisions, and actions occur close to the people and systems with the most relevant context. When vendors must wait on Chewy to access information, or when ISMs must deep-dive into raw data rather than inspect governed signals, value is lost to latency and unnecessary effort. CPFR capabilities should move insight and action closer to the point of influence - enabling vendors to self-serve rather than wait, and ISMs to inspect rather than assemble. Proximality is not decentralization for its own sake; it is the deliberate placement of governed capabilities where they create the most leverage.</w:t>
      </w:r>
    </w:p>
    <w:p w14:paraId="7F0DFC95" w14:textId="1E319846" w:rsidR="00C63BA8" w:rsidRDefault="00000000" w:rsidP="00FD48D6">
      <w:pPr>
        <w:pStyle w:val="BodyText"/>
      </w:pPr>
      <w:r>
        <w:rPr>
          <w:b/>
          <w:bCs/>
        </w:rPr>
        <w:t>Rationale</w:t>
      </w:r>
      <w:r>
        <w:t>: Introduces “proximality” as a term-of-art with a clear definition that applies across ISM, vendor, and CPFR team perspectives. Frames it as a design principle rather than a buzzword, and explicitly distinguishes it from naive decentralization.</w:t>
      </w:r>
    </w:p>
    <w:p w14:paraId="569FE952" w14:textId="77777777" w:rsidR="00C63BA8" w:rsidRDefault="00000000">
      <w:pPr>
        <w:pStyle w:val="Heading2"/>
      </w:pPr>
      <w:bookmarkStart w:id="3" w:name="Xabcd46e9713e933bab9c75ee0a5c90cb23df3d9"/>
      <w:bookmarkEnd w:id="2"/>
      <w:r>
        <w:t>Augmentation 3: Section 4 (Communication as Core Capability) - Vendor Experience Differentiation</w:t>
      </w:r>
    </w:p>
    <w:p w14:paraId="4FC6DF1B" w14:textId="77777777" w:rsidR="00C63BA8" w:rsidRDefault="00000000">
      <w:pPr>
        <w:pStyle w:val="FirstParagraph"/>
      </w:pPr>
      <w:r>
        <w:rPr>
          <w:b/>
          <w:bCs/>
        </w:rPr>
        <w:t>Location</w:t>
      </w:r>
      <w:r>
        <w:t>: After line 85, following “…benchmarking CPFR against vendors’ other customers.”</w:t>
      </w:r>
    </w:p>
    <w:p w14:paraId="1B69F35D" w14:textId="77777777" w:rsidR="00C63BA8" w:rsidRDefault="00000000">
      <w:pPr>
        <w:pStyle w:val="BodyText"/>
      </w:pPr>
      <w:r>
        <w:rPr>
          <w:b/>
          <w:bCs/>
        </w:rPr>
        <w:t>Type</w:t>
      </w:r>
      <w:r>
        <w:t>: INSERT</w:t>
      </w:r>
    </w:p>
    <w:p w14:paraId="4AAA077C" w14:textId="6337B762" w:rsidR="00C63BA8" w:rsidRDefault="00000000">
      <w:pPr>
        <w:pStyle w:val="BodyText"/>
      </w:pPr>
      <w:r>
        <w:rPr>
          <w:b/>
          <w:bCs/>
        </w:rPr>
        <w:t>Proposed Content</w:t>
      </w:r>
      <w:r>
        <w:t>: This feedback mechanism also supports a broader strategic objective: positioning Chewy’s vendor collaboration capabilities as best-in-class. Leadership has articulated a “white-glove” treatment paradigm for vendor relationships, and CPFR’s communication and tooling investments are designed to reinforce that standard. The goal is not parity with competitors, but differentiation through a curated, high-trust vendor experience that reflects Chewy’s relationship-driven culture.</w:t>
      </w:r>
    </w:p>
    <w:p w14:paraId="77EDEB92" w14:textId="0A18D8BB" w:rsidR="00C63BA8" w:rsidRDefault="00000000">
      <w:pPr>
        <w:pStyle w:val="BodyText"/>
      </w:pPr>
      <w:r>
        <w:rPr>
          <w:b/>
          <w:bCs/>
        </w:rPr>
        <w:t>Rationale</w:t>
      </w:r>
      <w:r>
        <w:t>: Connects CPFR’s vendor-facing work to the “white-glove” paradigm. Positions CPH and related investments as strategic differentiation rather than operational hygiene.</w:t>
      </w:r>
    </w:p>
    <w:p w14:paraId="49FE5610" w14:textId="77777777" w:rsidR="00C63BA8" w:rsidRDefault="00000000">
      <w:pPr>
        <w:pStyle w:val="Heading2"/>
      </w:pPr>
      <w:bookmarkStart w:id="4" w:name="X8098cb6627acf264e01658bb49d73595ed27736"/>
      <w:bookmarkEnd w:id="3"/>
      <w:r>
        <w:lastRenderedPageBreak/>
        <w:t>Augmentation 4: Section 5 (2025 Retrospective) - Quantified Foundation</w:t>
      </w:r>
    </w:p>
    <w:p w14:paraId="3D387E40" w14:textId="77777777" w:rsidR="00C63BA8" w:rsidRDefault="00000000">
      <w:pPr>
        <w:pStyle w:val="FirstParagraph"/>
      </w:pPr>
      <w:r>
        <w:rPr>
          <w:b/>
          <w:bCs/>
        </w:rPr>
        <w:t>Location</w:t>
      </w:r>
      <w:r>
        <w:t>: After line 109, following “…early visibility into vendor PO rejections was established through the EDI 855 process.”</w:t>
      </w:r>
    </w:p>
    <w:p w14:paraId="3B50404E" w14:textId="77777777" w:rsidR="00C63BA8" w:rsidRDefault="00000000">
      <w:pPr>
        <w:pStyle w:val="BodyText"/>
      </w:pPr>
      <w:r>
        <w:rPr>
          <w:b/>
          <w:bCs/>
        </w:rPr>
        <w:t>Type</w:t>
      </w:r>
      <w:r>
        <w:t>: INSERT</w:t>
      </w:r>
    </w:p>
    <w:p w14:paraId="10BFCF20" w14:textId="200889CA" w:rsidR="00C63BA8" w:rsidRDefault="00000000">
      <w:pPr>
        <w:pStyle w:val="BodyText"/>
      </w:pPr>
      <w:r>
        <w:rPr>
          <w:b/>
          <w:bCs/>
        </w:rPr>
        <w:t>Proposed Content</w:t>
      </w:r>
      <w:r>
        <w:t>: These capabilities were delivered while simultaneously absorbing significant operational growth. During 2025, CPFR fulfilled over 400 vendor maintenance requests and nearly 200 VPP tickets, consolidated three separate vendor management systems into a unified platform, and improved reporting reliability to the point where Tier 1 deliveries moved from Wednesday to Monday - reclaiming the majority of each week for ISM planning rather than reactive data assembly. Enterprise system migration from Vertica to Snowflake required multiple rounds of remediation, including revision and validation of over 2,100 lines of production query logic, yet CPFR maintained continuous service to vendors throughout.</w:t>
      </w:r>
    </w:p>
    <w:p w14:paraId="2979A97C" w14:textId="763F3394" w:rsidR="00C63BA8" w:rsidRDefault="00000000">
      <w:pPr>
        <w:pStyle w:val="BodyText"/>
      </w:pPr>
      <w:r>
        <w:rPr>
          <w:b/>
          <w:bCs/>
        </w:rPr>
        <w:t>Rationale</w:t>
      </w:r>
      <w:r>
        <w:t>: Adds concrete accomplishments from auxiliary docs without over-specifying. Demonstrates that 2025 was not just about new capabilities but also about operational resilience and scale absorption.</w:t>
      </w:r>
    </w:p>
    <w:p w14:paraId="18A303DD" w14:textId="77777777" w:rsidR="00C63BA8" w:rsidRDefault="00000000">
      <w:pPr>
        <w:pStyle w:val="Heading2"/>
      </w:pPr>
      <w:bookmarkStart w:id="5" w:name="Xfedf06b74be26eeaa778f607f56f3fef96ac400"/>
      <w:bookmarkEnd w:id="4"/>
      <w:r>
        <w:t>Augmentation 5: Section 5 (2025 Retrospective) - Entitlement Framework Reference</w:t>
      </w:r>
    </w:p>
    <w:p w14:paraId="40D7FECA" w14:textId="77777777" w:rsidR="00C63BA8" w:rsidRDefault="00000000">
      <w:pPr>
        <w:pStyle w:val="FirstParagraph"/>
      </w:pPr>
      <w:r>
        <w:rPr>
          <w:b/>
          <w:bCs/>
        </w:rPr>
        <w:t>Location</w:t>
      </w:r>
      <w:r>
        <w:t>: After line 113, following “…Manual validation remains a hidden cost even when downstream automation exists.”</w:t>
      </w:r>
    </w:p>
    <w:p w14:paraId="39566C7E" w14:textId="77777777" w:rsidR="00C63BA8" w:rsidRDefault="00000000">
      <w:pPr>
        <w:pStyle w:val="BodyText"/>
      </w:pPr>
      <w:r>
        <w:rPr>
          <w:b/>
          <w:bCs/>
        </w:rPr>
        <w:t>Type</w:t>
      </w:r>
      <w:r>
        <w:t>: INSERT</w:t>
      </w:r>
    </w:p>
    <w:p w14:paraId="438CE0D6" w14:textId="074F9D21" w:rsidR="00C63BA8" w:rsidRDefault="00000000">
      <w:pPr>
        <w:pStyle w:val="BodyText"/>
      </w:pPr>
      <w:r>
        <w:rPr>
          <w:b/>
          <w:bCs/>
        </w:rPr>
        <w:t>Proposed Content</w:t>
      </w:r>
      <w:r>
        <w:t>: To support informed investment decisions, CPFR developed a quantified entitlement framework during 2025 that identified material annual opportunity tied specifically to the CPH Portal and CPFR Data Platform initiative. This analysis, grounded in user research and operational data, provides a defensible baseline for evaluating return on investment within that project’s scope. Notably, because this assessment focused on a single initiative rather than CPFR’s full operational footprint, it likely represents a conservative view of total addressable opportunity - a hypothesis that can be tested as additional capability areas are evaluated using the same methodology.</w:t>
      </w:r>
    </w:p>
    <w:p w14:paraId="0E9A3B07" w14:textId="77777777" w:rsidR="00C63BA8" w:rsidRDefault="00000000">
      <w:pPr>
        <w:pStyle w:val="BodyText"/>
      </w:pPr>
      <w:r>
        <w:rPr>
          <w:b/>
          <w:bCs/>
        </w:rPr>
        <w:t>Rationale</w:t>
      </w:r>
      <w:r>
        <w:t>: References the $1.4M entitlement work without stating the specific figure. Anchors it explicitly to the CPH Portal &amp; CPFR Data Platform project while signaling that this narrow scope implies additional ROI exists beyond it - protecting against both overreach and ceiling effects.</w:t>
      </w:r>
    </w:p>
    <w:p w14:paraId="51287C06" w14:textId="77777777" w:rsidR="00C63BA8" w:rsidRDefault="00000000">
      <w:pPr>
        <w:pStyle w:val="Heading2"/>
      </w:pPr>
      <w:bookmarkStart w:id="6" w:name="X6cd11d6b9be2944d94fcbec2b0371ed33d34d55"/>
      <w:bookmarkEnd w:id="5"/>
      <w:r>
        <w:t>Augmentation 6: Section 7 (2026 Deliverables) - CPH Portal Expansion</w:t>
      </w:r>
    </w:p>
    <w:p w14:paraId="192AE0B4" w14:textId="77777777" w:rsidR="00C63BA8" w:rsidRDefault="00000000">
      <w:pPr>
        <w:pStyle w:val="FirstParagraph"/>
      </w:pPr>
      <w:r>
        <w:rPr>
          <w:b/>
          <w:bCs/>
        </w:rPr>
        <w:t>Location</w:t>
      </w:r>
      <w:r>
        <w:t>: After line 138, following “…development of standardized forward-looking risk models.”</w:t>
      </w:r>
    </w:p>
    <w:p w14:paraId="1CFB09CC" w14:textId="77777777" w:rsidR="00C63BA8" w:rsidRDefault="00000000">
      <w:pPr>
        <w:pStyle w:val="BodyText"/>
      </w:pPr>
      <w:r>
        <w:rPr>
          <w:b/>
          <w:bCs/>
        </w:rPr>
        <w:t>Type</w:t>
      </w:r>
      <w:r>
        <w:t>: INSERT</w:t>
      </w:r>
    </w:p>
    <w:p w14:paraId="65B3979F" w14:textId="3756E98D" w:rsidR="00C63BA8" w:rsidRDefault="00000000">
      <w:pPr>
        <w:pStyle w:val="BodyText"/>
      </w:pPr>
      <w:r>
        <w:rPr>
          <w:b/>
          <w:bCs/>
        </w:rPr>
        <w:t>Proposed Content</w:t>
      </w:r>
      <w:r>
        <w:t>: The vendor-facing portal within CPH represents more than a delivery mechanism for existing reports. It is an opportunity to build a comprehensive, curated platform where vendors can access governed data, inspect operational signals, and engage with Chewy through purpose-built workflows. The initial deployment will focus on core CPFR data access and self-service capabilities, but the architecture is designed for progressive expansion - supporting new use cases, tighter integration with Vendor Compliance modules, and customization that reflects the unique needs of different vendor segments.</w:t>
      </w:r>
    </w:p>
    <w:p w14:paraId="35CC97AA" w14:textId="77777777" w:rsidR="00C63BA8" w:rsidRDefault="00000000">
      <w:pPr>
        <w:pStyle w:val="BodyText"/>
      </w:pPr>
      <w:r>
        <w:rPr>
          <w:b/>
          <w:bCs/>
        </w:rPr>
        <w:t>Rationale</w:t>
      </w:r>
      <w:r>
        <w:t>: Expands the CPH portal framing from “delivery mechanism” to “strategic platform.” Emphasizes greenfield potential, curation, and progressive expansion without comparative framing that could be read as disparaging prior work.</w:t>
      </w:r>
    </w:p>
    <w:p w14:paraId="3B1AA5A9" w14:textId="77777777" w:rsidR="00FD48D6" w:rsidRDefault="00FD48D6">
      <w:pPr>
        <w:rPr>
          <w:rFonts w:asciiTheme="majorHAnsi" w:eastAsiaTheme="majorEastAsia" w:hAnsiTheme="majorHAnsi" w:cstheme="majorBidi"/>
          <w:b/>
          <w:szCs w:val="32"/>
        </w:rPr>
      </w:pPr>
      <w:bookmarkStart w:id="7" w:name="X2f3a5e3725444d809a3a1a2931f0329df05f12b"/>
      <w:bookmarkEnd w:id="6"/>
      <w:r>
        <w:br w:type="page"/>
      </w:r>
    </w:p>
    <w:p w14:paraId="1674A3D0" w14:textId="09952E37" w:rsidR="00C63BA8" w:rsidRDefault="00000000">
      <w:pPr>
        <w:pStyle w:val="Heading2"/>
      </w:pPr>
      <w:r>
        <w:lastRenderedPageBreak/>
        <w:t>Augmentation 7: Section 7 (2026 Deliverables) - Decision Support and Scenario Modeling</w:t>
      </w:r>
    </w:p>
    <w:p w14:paraId="13BD2F5E" w14:textId="77777777" w:rsidR="00C63BA8" w:rsidRDefault="00000000">
      <w:pPr>
        <w:pStyle w:val="FirstParagraph"/>
      </w:pPr>
      <w:r>
        <w:rPr>
          <w:b/>
          <w:bCs/>
        </w:rPr>
        <w:t>Location</w:t>
      </w:r>
      <w:r>
        <w:t>: After the CPH Portal expansion (new Augmentation 6), as a new paragraph</w:t>
      </w:r>
    </w:p>
    <w:p w14:paraId="5BCEE397" w14:textId="77777777" w:rsidR="00C63BA8" w:rsidRDefault="00000000">
      <w:pPr>
        <w:pStyle w:val="BodyText"/>
      </w:pPr>
      <w:r>
        <w:rPr>
          <w:b/>
          <w:bCs/>
        </w:rPr>
        <w:t>Type</w:t>
      </w:r>
      <w:r>
        <w:t>: INSERT</w:t>
      </w:r>
    </w:p>
    <w:p w14:paraId="2AFE0BC5" w14:textId="748B375D" w:rsidR="00C63BA8" w:rsidRDefault="00000000">
      <w:pPr>
        <w:pStyle w:val="BodyText"/>
      </w:pPr>
      <w:r>
        <w:rPr>
          <w:b/>
          <w:bCs/>
        </w:rPr>
        <w:t>Proposed Content</w:t>
      </w:r>
      <w:r>
        <w:t>: In parallel, CPFR is investing in decision-support capabilities that extend beyond retrospective reporting into forward-looking scenario analysis. Initial work focuses on predictive out-of-stock modeling - enabling teams to identify emerging risk before it materializes into customer impact. The underlying architecture, however, is designed for extensibility: causal modeling frameworks that can represent complex interdependencies, support “what-if” scenario testing, and progressively incorporate additional planning domains. As these capabilities mature, they provide a foundation for digital-twin-like representations of supply-chain dynamics - enabling both diagnostic analysis of past outcomes and simulation of future states under varying assumptions. This work will be sequenced deliberately, with initial applications validated before expanding scope.</w:t>
      </w:r>
    </w:p>
    <w:p w14:paraId="6F165E54" w14:textId="77777777" w:rsidR="00C63BA8" w:rsidRDefault="00000000">
      <w:pPr>
        <w:pStyle w:val="BodyText"/>
      </w:pPr>
      <w:r>
        <w:rPr>
          <w:b/>
          <w:bCs/>
        </w:rPr>
        <w:t>Rationale</w:t>
      </w:r>
      <w:r>
        <w:t>: Introduces Trident concepts without naming the project. Frames it within the “safe” context of predictive OOS while explicitly signaling extensibility toward digital twins. The “sequenced deliberately” language acknowledges current leadership’s preference for incremental validation while preserving the long-term vision.</w:t>
      </w:r>
    </w:p>
    <w:p w14:paraId="1B690AB8" w14:textId="77777777" w:rsidR="00C63BA8" w:rsidRDefault="00000000">
      <w:pPr>
        <w:pStyle w:val="Heading2"/>
      </w:pPr>
      <w:bookmarkStart w:id="8" w:name="X363e609e2af7c6f865a211677d642167f95bc81"/>
      <w:bookmarkEnd w:id="7"/>
      <w:r>
        <w:t>Augmentation 8: Section 7 (2026 Deliverables) - Forecast Reconciliation Maturation</w:t>
      </w:r>
    </w:p>
    <w:p w14:paraId="27CCE34D" w14:textId="77777777" w:rsidR="00C63BA8" w:rsidRDefault="00000000">
      <w:pPr>
        <w:pStyle w:val="FirstParagraph"/>
      </w:pPr>
      <w:r>
        <w:rPr>
          <w:b/>
          <w:bCs/>
        </w:rPr>
        <w:t>Location</w:t>
      </w:r>
      <w:r>
        <w:t>: After the Decision Support paragraph (new Augmentation 7)</w:t>
      </w:r>
    </w:p>
    <w:p w14:paraId="7A38CC1F" w14:textId="77777777" w:rsidR="00C63BA8" w:rsidRDefault="00000000">
      <w:pPr>
        <w:pStyle w:val="BodyText"/>
      </w:pPr>
      <w:r>
        <w:rPr>
          <w:b/>
          <w:bCs/>
        </w:rPr>
        <w:t>Type</w:t>
      </w:r>
      <w:r>
        <w:t>: INSERT</w:t>
      </w:r>
    </w:p>
    <w:p w14:paraId="6FFBC894" w14:textId="40FDB018" w:rsidR="00C63BA8" w:rsidRDefault="00000000">
      <w:pPr>
        <w:pStyle w:val="BodyText"/>
      </w:pPr>
      <w:r>
        <w:rPr>
          <w:b/>
          <w:bCs/>
        </w:rPr>
        <w:t>Proposed Content</w:t>
      </w:r>
      <w:r>
        <w:t>: Forecast Reconciliation, introduced in 2025 as a structured diagnostic capability, will mature in 2026 toward smarter exception handling and trend detection. Rather than treating each reconciliation cycle as an isolated event, CPFR will aggregate exceptions over time to surface patterns - identifying vendors, SKUs, or categories where forecast misalignment is systemic rather than episodic. This aggregation creates signal from noise, enabling ISMs and vendors to address root causes rather than repeatedly triaging symptoms. Longer-term, reconciliation workflows may integrate with scenario-modeling capabilities, allowing teams to project how proposed changes would affect forecast alignment before implementation.</w:t>
      </w:r>
    </w:p>
    <w:p w14:paraId="294AD79E" w14:textId="77777777" w:rsidR="00C63BA8" w:rsidRDefault="00000000">
      <w:pPr>
        <w:pStyle w:val="BodyText"/>
      </w:pPr>
      <w:r>
        <w:rPr>
          <w:b/>
          <w:bCs/>
        </w:rPr>
        <w:t>Rationale</w:t>
      </w:r>
      <w:r>
        <w:t>: Shows the 2025 → 2026 evolution of an existing capability. Introduces the “smart aggregator” concept and connects it to the scenario-modeling work, creating a coherent capability roadmap.</w:t>
      </w:r>
    </w:p>
    <w:p w14:paraId="77A69E0E" w14:textId="77777777" w:rsidR="00C63BA8" w:rsidRDefault="00000000">
      <w:pPr>
        <w:pStyle w:val="Heading2"/>
      </w:pPr>
      <w:bookmarkStart w:id="9" w:name="X304d1afc49aab9020f53420cd77aafa6c74bd31"/>
      <w:bookmarkEnd w:id="8"/>
      <w:r>
        <w:t>Augmentation 9: Section 7 (2026 Deliverables) - Vertical and Cross-Functional Extensibility</w:t>
      </w:r>
    </w:p>
    <w:p w14:paraId="4E0A77CB" w14:textId="77777777" w:rsidR="00C63BA8" w:rsidRDefault="00000000">
      <w:pPr>
        <w:pStyle w:val="FirstParagraph"/>
      </w:pPr>
      <w:r>
        <w:rPr>
          <w:b/>
          <w:bCs/>
        </w:rPr>
        <w:t>Location</w:t>
      </w:r>
      <w:r>
        <w:t>: After the Forecast Reconciliation paragraph (new Augmentation 8)</w:t>
      </w:r>
    </w:p>
    <w:p w14:paraId="02A29891" w14:textId="77777777" w:rsidR="00C63BA8" w:rsidRDefault="00000000">
      <w:pPr>
        <w:pStyle w:val="BodyText"/>
      </w:pPr>
      <w:r>
        <w:rPr>
          <w:b/>
          <w:bCs/>
        </w:rPr>
        <w:t>Type</w:t>
      </w:r>
      <w:r>
        <w:t>: INSERT</w:t>
      </w:r>
    </w:p>
    <w:p w14:paraId="32C3A2C8" w14:textId="0385B55B" w:rsidR="00C63BA8" w:rsidRDefault="00000000">
      <w:pPr>
        <w:pStyle w:val="BodyText"/>
      </w:pPr>
      <w:r>
        <w:rPr>
          <w:b/>
          <w:bCs/>
        </w:rPr>
        <w:t>Proposed Content</w:t>
      </w:r>
      <w:r>
        <w:t>: CPFR’s scope has historically centered on conventional replenishment workflows, but adjacent functions - including direct-ship, emerging vendor programs, and specialized verticals - share many of the same collaboration and data-governance needs. In 2026, CPFR will evaluate opportunities to extend core capabilities to serve these adjacent domains without fragmenting into bespoke solutions. The goal is inclusive extensibility: a platform and operating model that accommodates the unique requirements of specialized verticals while preserving a coherent core that conventional vendors and ISMs continue to rely on.</w:t>
      </w:r>
    </w:p>
    <w:p w14:paraId="16489DAA" w14:textId="77777777" w:rsidR="00C63BA8" w:rsidRDefault="00000000">
      <w:pPr>
        <w:pStyle w:val="BodyText"/>
      </w:pPr>
      <w:r>
        <w:rPr>
          <w:b/>
          <w:bCs/>
        </w:rPr>
        <w:t>Rationale</w:t>
      </w:r>
      <w:r>
        <w:t>: Addresses EFE, direct-ship, and vertical expansion without overcommitting. Frames it as “evaluate opportunities” rather than a hard commitment, and introduces “inclusive extensibility” as the design principle.</w:t>
      </w:r>
    </w:p>
    <w:p w14:paraId="4E147B5C" w14:textId="77777777" w:rsidR="00FD48D6" w:rsidRDefault="00FD48D6">
      <w:pPr>
        <w:rPr>
          <w:rFonts w:asciiTheme="majorHAnsi" w:eastAsiaTheme="majorEastAsia" w:hAnsiTheme="majorHAnsi" w:cstheme="majorBidi"/>
          <w:b/>
          <w:szCs w:val="32"/>
        </w:rPr>
      </w:pPr>
      <w:bookmarkStart w:id="10" w:name="X537e66ac94c67fba5ff2272aa7eed43a4baf4b6"/>
      <w:bookmarkEnd w:id="9"/>
      <w:r>
        <w:br w:type="page"/>
      </w:r>
    </w:p>
    <w:p w14:paraId="62FB5188" w14:textId="08520849" w:rsidR="00C63BA8" w:rsidRDefault="00000000">
      <w:pPr>
        <w:pStyle w:val="Heading2"/>
      </w:pPr>
      <w:r>
        <w:lastRenderedPageBreak/>
        <w:t>Augmentation 10: Section 8 (Measuring Success) - Outcome Categories</w:t>
      </w:r>
    </w:p>
    <w:p w14:paraId="5E73C65D" w14:textId="77777777" w:rsidR="00C63BA8" w:rsidRDefault="00000000">
      <w:pPr>
        <w:pStyle w:val="FirstParagraph"/>
      </w:pPr>
      <w:r>
        <w:rPr>
          <w:b/>
          <w:bCs/>
        </w:rPr>
        <w:t>Location</w:t>
      </w:r>
      <w:r>
        <w:t>: After line 146, following “…fewer forecast mismatch-driven escalations.”</w:t>
      </w:r>
    </w:p>
    <w:p w14:paraId="1A8DD692" w14:textId="77777777" w:rsidR="00C63BA8" w:rsidRDefault="00000000">
      <w:pPr>
        <w:pStyle w:val="BodyText"/>
      </w:pPr>
      <w:r>
        <w:rPr>
          <w:b/>
          <w:bCs/>
        </w:rPr>
        <w:t>Type</w:t>
      </w:r>
      <w:r>
        <w:t>: INSERT</w:t>
      </w:r>
    </w:p>
    <w:p w14:paraId="4E6D7162" w14:textId="649F3715" w:rsidR="00C63BA8" w:rsidRDefault="00000000">
      <w:pPr>
        <w:pStyle w:val="BodyText"/>
      </w:pPr>
      <w:r>
        <w:rPr>
          <w:b/>
          <w:bCs/>
        </w:rPr>
        <w:t>Proposed Content</w:t>
      </w:r>
      <w:r>
        <w:t xml:space="preserve">: These indicators can be organized into two complementary outcome categories: &gt; &gt; </w:t>
      </w:r>
      <w:r>
        <w:rPr>
          <w:b/>
          <w:bCs/>
        </w:rPr>
        <w:t>Engagement</w:t>
      </w:r>
      <w:r>
        <w:t xml:space="preserve"> measures the degree to which CPFR capabilities are adopted and utilized by their intended audiences. This includes vendor portal login rates, self-service transaction volumes, tool utilization patterns, and survey-based satisfaction scores. Engagement metrics answer the question: are the capabilities CPFR builds actually being used? &gt; &gt; </w:t>
      </w:r>
      <w:r>
        <w:rPr>
          <w:b/>
          <w:bCs/>
        </w:rPr>
        <w:t>Operational leverage</w:t>
      </w:r>
      <w:r>
        <w:t xml:space="preserve"> measures the degree to which work is moving closer to the people with the most relevant context - reducing handoffs, intermediation, and latency. This includes reductions in vendor inquiries that require Chewy intervention, decreases in ISM time spent assembling data versus inspecting signals, faster time-to-action on identified risks, and fewer steps required to resolve routine requests. These metrics answer the question: is CPFR successfully enabling action at the point of influence? &gt; &gt; Together, these categories provide a framework for evaluating whether CPFR investments are delivering intended value - not just whether tools are built, but whether they are adopted and whether they change how work gets done.</w:t>
      </w:r>
    </w:p>
    <w:p w14:paraId="57A3AE57" w14:textId="77777777" w:rsidR="00C63BA8" w:rsidRDefault="00000000">
      <w:pPr>
        <w:pStyle w:val="BodyText"/>
      </w:pPr>
      <w:r>
        <w:rPr>
          <w:b/>
          <w:bCs/>
        </w:rPr>
        <w:t>Rationale</w:t>
      </w:r>
      <w:r>
        <w:t>: Introduces the two measurement categories (Engagement and Operational Leverage) with clear definitions and example metrics. Operational Leverage echoes the proximality concept from Section 3 without re-emphasizing the term, creating conceptual continuity while keeping the terminology subtle.</w:t>
      </w:r>
    </w:p>
    <w:p w14:paraId="48640BB8" w14:textId="77777777" w:rsidR="00C63BA8" w:rsidRDefault="00000000">
      <w:pPr>
        <w:pStyle w:val="Heading2"/>
      </w:pPr>
      <w:bookmarkStart w:id="11" w:name="Xc8029d472baa1abc59a7d0312a9ce37139f39a2"/>
      <w:bookmarkEnd w:id="10"/>
      <w:r>
        <w:t>Augmentation 11: Section 9 (Long-Term Vision) - Enhanced AI/Predictive Language</w:t>
      </w:r>
    </w:p>
    <w:p w14:paraId="4122647D" w14:textId="77777777" w:rsidR="00C63BA8" w:rsidRDefault="00000000">
      <w:pPr>
        <w:pStyle w:val="FirstParagraph"/>
      </w:pPr>
      <w:r>
        <w:rPr>
          <w:b/>
          <w:bCs/>
        </w:rPr>
        <w:t>Location</w:t>
      </w:r>
      <w:r>
        <w:t>: Lines 152-155, replace existing sentences about shared data foundation and AI-driven insights</w:t>
      </w:r>
    </w:p>
    <w:p w14:paraId="5F75F6A9" w14:textId="77777777" w:rsidR="00C63BA8" w:rsidRDefault="00000000">
      <w:pPr>
        <w:pStyle w:val="BodyText"/>
      </w:pPr>
      <w:r>
        <w:rPr>
          <w:b/>
          <w:bCs/>
        </w:rPr>
        <w:t>Type</w:t>
      </w:r>
      <w:r>
        <w:t>: REPLACE</w:t>
      </w:r>
    </w:p>
    <w:p w14:paraId="4B8496C6" w14:textId="68DDD74D" w:rsidR="00C63BA8" w:rsidRDefault="00000000">
      <w:pPr>
        <w:pStyle w:val="BodyText"/>
      </w:pPr>
      <w:r>
        <w:rPr>
          <w:b/>
          <w:bCs/>
        </w:rPr>
        <w:t>Original</w:t>
      </w:r>
      <w:r>
        <w:t>: It provides a shared data foundation across vendor-facing functions, enables predictive and AI-driven insights through normalized data, and reduces organizational friction by aligning teams to shared facts.</w:t>
      </w:r>
    </w:p>
    <w:p w14:paraId="3898FA8E" w14:textId="1D34AE9A" w:rsidR="00C63BA8" w:rsidRDefault="00000000">
      <w:pPr>
        <w:pStyle w:val="BodyText"/>
      </w:pPr>
      <w:r>
        <w:rPr>
          <w:b/>
          <w:bCs/>
        </w:rPr>
        <w:t>Proposed Replacement</w:t>
      </w:r>
      <w:r>
        <w:t>: It provides a shared data foundation across vendor-facing functions - one that enables not only retrospective analysis but also forward-looking capabilities: early risk detection, scenario modeling, and over time, richer representations of how supply-chain decisions play out across interconnected systems. This foundation reduces organizational friction by aligning teams to shared facts, and creates the conditions for progressively more sophisticated planning support as data maturity and adoption grow.</w:t>
      </w:r>
    </w:p>
    <w:p w14:paraId="5FD0DE25" w14:textId="5B25E0E2" w:rsidR="00C63BA8" w:rsidRDefault="00000000">
      <w:pPr>
        <w:pStyle w:val="BodyText"/>
      </w:pPr>
      <w:r>
        <w:rPr>
          <w:b/>
          <w:bCs/>
        </w:rPr>
        <w:t>Rationale</w:t>
      </w:r>
      <w:r>
        <w:t>: Same conceptual territory as original but with diffused tech-jargon. “Digital-twin” becomes “richer representations of how supply-chain decisions play out across interconnected systems” - describing the capability in human terms</w:t>
      </w:r>
      <w:r w:rsidR="00360AEB">
        <w:t>.</w:t>
      </w:r>
    </w:p>
    <w:p w14:paraId="3DD0AD82" w14:textId="77777777" w:rsidR="00C63BA8" w:rsidRDefault="00000000">
      <w:pPr>
        <w:pStyle w:val="Heading2"/>
      </w:pPr>
      <w:bookmarkStart w:id="12" w:name="X027344e275a2742e3d06677d1e939041fee6294"/>
      <w:bookmarkEnd w:id="11"/>
      <w:r>
        <w:t>Augmentation 12: Section 10 (FAQs) - New FAQ on Scope Expansion</w:t>
      </w:r>
    </w:p>
    <w:p w14:paraId="099D2B39" w14:textId="77777777" w:rsidR="00C63BA8" w:rsidRDefault="00000000">
      <w:pPr>
        <w:pStyle w:val="FirstParagraph"/>
      </w:pPr>
      <w:r>
        <w:rPr>
          <w:b/>
          <w:bCs/>
        </w:rPr>
        <w:t>Location</w:t>
      </w:r>
      <w:r>
        <w:t>: After line 171, following the “What happens if CPFR does nothing?” FAQ</w:t>
      </w:r>
    </w:p>
    <w:p w14:paraId="6D8FD8C2" w14:textId="77777777" w:rsidR="00C63BA8" w:rsidRDefault="00000000">
      <w:pPr>
        <w:pStyle w:val="BodyText"/>
      </w:pPr>
      <w:r>
        <w:rPr>
          <w:b/>
          <w:bCs/>
        </w:rPr>
        <w:t>Type</w:t>
      </w:r>
      <w:r>
        <w:t>: INSERT</w:t>
      </w:r>
    </w:p>
    <w:p w14:paraId="427B8D60" w14:textId="6D02B830" w:rsidR="00C63BA8" w:rsidRDefault="00000000">
      <w:pPr>
        <w:pStyle w:val="BodyText"/>
      </w:pPr>
      <w:r>
        <w:rPr>
          <w:b/>
          <w:bCs/>
        </w:rPr>
        <w:t>Proposed Content</w:t>
      </w:r>
      <w:r>
        <w:t xml:space="preserve">: </w:t>
      </w:r>
      <w:r>
        <w:rPr>
          <w:b/>
          <w:bCs/>
        </w:rPr>
        <w:t>How does CPFR avoid scope creep while expanding capabilities?</w:t>
      </w:r>
      <w:r>
        <w:t xml:space="preserve"> &gt; CPFR’s expansion is governed by the principle of inclusive extensibility - building capabilities that serve adjacent domains without fragmenting into bespoke solutions. New capabilities must be grounded in the same governed data foundation, adhere to the same inspection-over-reporting philosophy, and integrate with existing workflows rather than creating parallel paths. Expansion that does not meet these criteria is out of scope regardless of proximity to vendor collaboration.</w:t>
      </w:r>
    </w:p>
    <w:p w14:paraId="0CEA62E6" w14:textId="705DCF77" w:rsidR="00C63BA8" w:rsidRDefault="00000000" w:rsidP="00FD48D6">
      <w:pPr>
        <w:pStyle w:val="BodyText"/>
      </w:pPr>
      <w:r>
        <w:rPr>
          <w:b/>
          <w:bCs/>
        </w:rPr>
        <w:t>Rationale</w:t>
      </w:r>
      <w:r>
        <w:t>: Preemptively addresses the obvious question that arises from the vertical/cross-functional expansion language. Reinforces the Operating Truths as guardrails against undisciplined growth.</w:t>
      </w:r>
      <w:bookmarkStart w:id="13" w:name="summary-of-augmentations"/>
      <w:bookmarkEnd w:id="0"/>
      <w:bookmarkEnd w:id="12"/>
      <w:bookmarkEnd w:id="13"/>
    </w:p>
    <w:sectPr w:rsidR="00C63BA8" w:rsidSect="00FD48D6">
      <w:footnotePr>
        <w:numRestart w:val="eachSect"/>
      </w:footnotePr>
      <w:pgSz w:w="12240" w:h="15840"/>
      <w:pgMar w:top="720" w:right="720" w:bottom="720" w:left="720" w:header="288"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3C8DA" w14:textId="77777777" w:rsidR="00532A1E" w:rsidRDefault="00532A1E" w:rsidP="00FD48D6">
      <w:pPr>
        <w:spacing w:after="0"/>
      </w:pPr>
      <w:r>
        <w:separator/>
      </w:r>
    </w:p>
  </w:endnote>
  <w:endnote w:type="continuationSeparator" w:id="0">
    <w:p w14:paraId="53A309D2" w14:textId="77777777" w:rsidR="00532A1E" w:rsidRDefault="00532A1E" w:rsidP="00FD48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3CA00" w14:textId="77777777" w:rsidR="00532A1E" w:rsidRDefault="00532A1E" w:rsidP="00FD48D6">
      <w:pPr>
        <w:spacing w:after="0"/>
      </w:pPr>
      <w:r>
        <w:separator/>
      </w:r>
    </w:p>
  </w:footnote>
  <w:footnote w:type="continuationSeparator" w:id="0">
    <w:p w14:paraId="16E72197" w14:textId="77777777" w:rsidR="00532A1E" w:rsidRDefault="00532A1E" w:rsidP="00FD48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7C71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0BEBF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4819658">
    <w:abstractNumId w:val="0"/>
  </w:num>
  <w:num w:numId="2" w16cid:durableId="1479390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A8"/>
    <w:rsid w:val="002D226F"/>
    <w:rsid w:val="00360AEB"/>
    <w:rsid w:val="00532A1E"/>
    <w:rsid w:val="008A00BB"/>
    <w:rsid w:val="00C63BA8"/>
    <w:rsid w:val="00FD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BEBA"/>
  <w15:docId w15:val="{E04DD19D-CCF5-5E4B-9304-CD601FC0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FD48D6"/>
    <w:pPr>
      <w:keepNext/>
      <w:keepLines/>
      <w:spacing w:after="80"/>
      <w:outlineLvl w:val="0"/>
    </w:pPr>
    <w:rPr>
      <w:rFonts w:asciiTheme="majorHAnsi" w:eastAsiaTheme="majorEastAsia" w:hAnsiTheme="majorHAnsi" w:cstheme="majorBidi"/>
      <w:b/>
      <w:sz w:val="28"/>
      <w:szCs w:val="40"/>
    </w:rPr>
  </w:style>
  <w:style w:type="paragraph" w:styleId="Heading2">
    <w:name w:val="heading 2"/>
    <w:basedOn w:val="Normal"/>
    <w:next w:val="BodyText"/>
    <w:link w:val="Heading2Char"/>
    <w:uiPriority w:val="9"/>
    <w:semiHidden/>
    <w:unhideWhenUsed/>
    <w:qFormat/>
    <w:rsid w:val="00FD48D6"/>
    <w:pPr>
      <w:keepNext/>
      <w:keepLines/>
      <w:pBdr>
        <w:top w:val="single" w:sz="12" w:space="9" w:color="auto"/>
      </w:pBdr>
      <w:spacing w:before="480" w:after="80"/>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FD48D6"/>
    <w:pPr>
      <w:spacing w:before="180" w:after="180"/>
    </w:pPr>
    <w:rPr>
      <w:sz w:val="20"/>
    </w:rPr>
  </w:style>
  <w:style w:type="paragraph" w:customStyle="1" w:styleId="FirstParagraph">
    <w:name w:val="First Paragraph"/>
    <w:basedOn w:val="BodyText"/>
    <w:next w:val="BodyText"/>
    <w:qFormat/>
    <w:rsid w:val="00FD48D6"/>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D48D6"/>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semiHidden/>
    <w:rsid w:val="00FD48D6"/>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D48D6"/>
    <w:pPr>
      <w:tabs>
        <w:tab w:val="center" w:pos="4680"/>
        <w:tab w:val="right" w:pos="9360"/>
      </w:tabs>
      <w:spacing w:after="0"/>
    </w:pPr>
  </w:style>
  <w:style w:type="character" w:customStyle="1" w:styleId="HeaderChar">
    <w:name w:val="Header Char"/>
    <w:basedOn w:val="DefaultParagraphFont"/>
    <w:link w:val="Header"/>
    <w:rsid w:val="00FD48D6"/>
  </w:style>
  <w:style w:type="paragraph" w:styleId="Footer">
    <w:name w:val="footer"/>
    <w:basedOn w:val="Normal"/>
    <w:link w:val="FooterChar"/>
    <w:rsid w:val="00FD48D6"/>
    <w:pPr>
      <w:tabs>
        <w:tab w:val="center" w:pos="4680"/>
        <w:tab w:val="right" w:pos="9360"/>
      </w:tabs>
      <w:spacing w:after="0"/>
    </w:pPr>
  </w:style>
  <w:style w:type="character" w:customStyle="1" w:styleId="FooterChar">
    <w:name w:val="Footer Char"/>
    <w:basedOn w:val="DefaultParagraphFont"/>
    <w:link w:val="Footer"/>
    <w:rsid w:val="00FD4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2</cp:revision>
  <dcterms:created xsi:type="dcterms:W3CDTF">2026-01-20T08:05:00Z</dcterms:created>
  <dcterms:modified xsi:type="dcterms:W3CDTF">2026-01-20T08:05:00Z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