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4FD" w14:textId="77777777" w:rsidR="003C6BE6" w:rsidRDefault="003C6BE6" w:rsidP="003C6BE6">
      <w:pPr>
        <w:pStyle w:val="Header"/>
        <w:tabs>
          <w:tab w:val="clear" w:pos="4680"/>
          <w:tab w:val="clear" w:pos="9360"/>
          <w:tab w:val="center" w:pos="5400"/>
          <w:tab w:val="right" w:pos="10800"/>
        </w:tabs>
        <w:spacing w:after="240" w:line="264" w:lineRule="auto"/>
      </w:pPr>
      <w:r>
        <w:t>CPFR Data Platform and Chewy Partner Hub Portal</w:t>
      </w:r>
      <w:r>
        <w:tab/>
      </w:r>
      <w:r>
        <w:tab/>
        <w:t>Project Entitlement</w:t>
      </w:r>
    </w:p>
    <w:p w14:paraId="299D0BE4" w14:textId="67E6C7CB" w:rsidR="00EB609A" w:rsidRPr="00D0092F" w:rsidRDefault="00EB609A" w:rsidP="009206BA">
      <w:pPr>
        <w:pStyle w:val="Heading1"/>
      </w:pPr>
      <w:r w:rsidRPr="00D0092F">
        <w:t>Executive Summary</w:t>
      </w:r>
    </w:p>
    <w:p w14:paraId="2DF64E4F" w14:textId="6F503AEB" w:rsidR="009206BA" w:rsidRPr="009206BA" w:rsidRDefault="009206BA" w:rsidP="009206BA">
      <w:pPr>
        <w:spacing w:line="240" w:lineRule="auto"/>
        <w:rPr>
          <w:sz w:val="20"/>
          <w:szCs w:val="20"/>
        </w:rPr>
      </w:pPr>
      <w:r w:rsidRPr="009206BA">
        <w:rPr>
          <w:sz w:val="20"/>
          <w:szCs w:val="20"/>
        </w:rPr>
        <w:t>Chewy’s CPFR program is transforming how supply-chain data is shared and understood. Today, weekly emailed reports—each built from multiple queries</w:t>
      </w:r>
      <w:r w:rsidR="00390734">
        <w:rPr>
          <w:sz w:val="20"/>
          <w:szCs w:val="20"/>
        </w:rPr>
        <w:t xml:space="preserve">—and </w:t>
      </w:r>
      <w:r w:rsidRPr="009206BA">
        <w:rPr>
          <w:sz w:val="20"/>
          <w:szCs w:val="20"/>
        </w:rPr>
        <w:t>parallel VDS processes</w:t>
      </w:r>
      <w:r w:rsidR="00390734">
        <w:rPr>
          <w:sz w:val="20"/>
          <w:szCs w:val="20"/>
        </w:rPr>
        <w:t xml:space="preserve">, </w:t>
      </w:r>
      <w:r w:rsidRPr="009206BA">
        <w:rPr>
          <w:sz w:val="20"/>
          <w:szCs w:val="20"/>
        </w:rPr>
        <w:t>fragment visibility, duplicate effort, and limit scalability.</w:t>
      </w:r>
    </w:p>
    <w:p w14:paraId="61B9CB5A" w14:textId="6D3EF9B1" w:rsidR="009206BA" w:rsidRDefault="009206BA" w:rsidP="009206BA">
      <w:pPr>
        <w:spacing w:line="240" w:lineRule="auto"/>
        <w:rPr>
          <w:sz w:val="20"/>
          <w:szCs w:val="20"/>
        </w:rPr>
      </w:pPr>
      <w:r w:rsidRPr="009206BA">
        <w:rPr>
          <w:sz w:val="20"/>
          <w:szCs w:val="20"/>
        </w:rPr>
        <w:t>This initiative unites two complementary components: a centralized data platform in Snowflake that delivers governed, daily CPFR data at scale</w:t>
      </w:r>
      <w:r w:rsidR="00390734">
        <w:rPr>
          <w:sz w:val="20"/>
          <w:szCs w:val="20"/>
        </w:rPr>
        <w:t>,</w:t>
      </w:r>
      <w:r w:rsidRPr="009206BA">
        <w:rPr>
          <w:sz w:val="20"/>
          <w:szCs w:val="20"/>
        </w:rPr>
        <w:t xml:space="preserv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w:t>
      </w:r>
      <w:r>
        <w:rPr>
          <w:sz w:val="20"/>
          <w:szCs w:val="20"/>
        </w:rPr>
        <w:t xml:space="preserve"> </w:t>
      </w:r>
      <w:r w:rsidRPr="009206BA">
        <w:rPr>
          <w:sz w:val="20"/>
          <w:szCs w:val="20"/>
        </w:rPr>
        <w:t xml:space="preserve">The combined annual benefit is projected at roughly $1.5–1.7 million, driven by improved efficiency, reduced reconciliation effort, faster vendor alignment, and </w:t>
      </w:r>
      <w:r w:rsidR="00390734">
        <w:rPr>
          <w:sz w:val="20"/>
          <w:szCs w:val="20"/>
        </w:rPr>
        <w:t>deep</w:t>
      </w:r>
      <w:r w:rsidRPr="009206BA">
        <w:rPr>
          <w:sz w:val="20"/>
          <w:szCs w:val="20"/>
        </w:rPr>
        <w:t xml:space="preserve">er vendor participation. Beyond measurable savings, this platform </w:t>
      </w:r>
      <w:r w:rsidR="00390734">
        <w:rPr>
          <w:sz w:val="20"/>
          <w:szCs w:val="20"/>
        </w:rPr>
        <w:t xml:space="preserve">also </w:t>
      </w:r>
      <w:r w:rsidRPr="009206BA">
        <w:rPr>
          <w:sz w:val="20"/>
          <w:szCs w:val="20"/>
        </w:rPr>
        <w:t>establishes CPFR as a cornerstone for cross-team collaboration and future AI-driven insight.</w:t>
      </w:r>
    </w:p>
    <w:p w14:paraId="31E4327C" w14:textId="74A464BE" w:rsidR="00EB609A" w:rsidRPr="00D0092F" w:rsidRDefault="00EB609A" w:rsidP="009206BA">
      <w:pPr>
        <w:pStyle w:val="Heading1"/>
      </w:pPr>
      <w:r w:rsidRPr="00D0092F">
        <w:t>Context and Current State</w:t>
      </w:r>
    </w:p>
    <w:p w14:paraId="2DF43258" w14:textId="77777777" w:rsidR="009206BA" w:rsidRPr="009206BA" w:rsidRDefault="009206BA" w:rsidP="009206BA">
      <w:pPr>
        <w:spacing w:line="240" w:lineRule="auto"/>
        <w:rPr>
          <w:sz w:val="20"/>
          <w:szCs w:val="20"/>
        </w:rPr>
      </w:pPr>
      <w:r w:rsidRPr="009206BA">
        <w:rPr>
          <w:sz w:val="20"/>
          <w:szCs w:val="20"/>
        </w:rPr>
        <w:t>Across Chewy’s supply chain, CPFR activities span multiple processes and workstreams that depend on parallel data pulls, manual coordination, and frequent reconciliation. These distributed practices create friction that limits scale and consistency.</w:t>
      </w:r>
    </w:p>
    <w:p w14:paraId="7D5CF534" w14:textId="627AEA21" w:rsidR="009206BA" w:rsidRPr="009206BA" w:rsidRDefault="009206BA" w:rsidP="009206BA">
      <w:pPr>
        <w:spacing w:line="240" w:lineRule="auto"/>
        <w:rPr>
          <w:sz w:val="20"/>
          <w:szCs w:val="20"/>
        </w:rPr>
      </w:pPr>
      <w:r w:rsidRPr="009206BA">
        <w:rPr>
          <w:sz w:val="20"/>
          <w:szCs w:val="20"/>
        </w:rPr>
        <w:t>Today, CPFR distributes weekly inventory and forecast reports to more than 2,300 vendors. While some steps are automated, each cycle still depends on semi-manual initiation</w:t>
      </w:r>
      <w:r>
        <w:rPr>
          <w:sz w:val="20"/>
          <w:szCs w:val="20"/>
        </w:rPr>
        <w:t xml:space="preserve">, </w:t>
      </w:r>
      <w:r w:rsidRPr="009206BA">
        <w:rPr>
          <w:sz w:val="20"/>
          <w:szCs w:val="20"/>
        </w:rPr>
        <w:t>recurring adjustments</w:t>
      </w:r>
      <w:r>
        <w:rPr>
          <w:sz w:val="20"/>
          <w:szCs w:val="20"/>
        </w:rPr>
        <w:t xml:space="preserve"> to </w:t>
      </w:r>
      <w:r w:rsidRPr="009206BA">
        <w:rPr>
          <w:sz w:val="20"/>
          <w:szCs w:val="20"/>
        </w:rPr>
        <w:t>contact and report configurations</w:t>
      </w:r>
      <w:r>
        <w:rPr>
          <w:sz w:val="20"/>
          <w:szCs w:val="20"/>
        </w:rPr>
        <w:t>, and frequent re-sends</w:t>
      </w:r>
      <w:r w:rsidRPr="009206BA">
        <w:rPr>
          <w:sz w:val="20"/>
          <w:szCs w:val="20"/>
        </w:rPr>
        <w:t xml:space="preserve">.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w:t>
      </w:r>
      <w:r>
        <w:rPr>
          <w:sz w:val="20"/>
          <w:szCs w:val="20"/>
        </w:rPr>
        <w:t>data</w:t>
      </w:r>
      <w:r w:rsidRPr="009206BA">
        <w:rPr>
          <w:sz w:val="20"/>
          <w:szCs w:val="20"/>
        </w:rPr>
        <w:t>.</w:t>
      </w:r>
    </w:p>
    <w:p w14:paraId="38A292CC" w14:textId="2C980065" w:rsidR="009206BA" w:rsidRDefault="009206BA" w:rsidP="009206BA">
      <w:pPr>
        <w:spacing w:line="240" w:lineRule="auto"/>
        <w:rPr>
          <w:sz w:val="20"/>
          <w:szCs w:val="20"/>
        </w:rPr>
      </w:pPr>
      <w:r w:rsidRPr="009206BA">
        <w:rPr>
          <w:sz w:val="20"/>
          <w:szCs w:val="20"/>
        </w:rPr>
        <w:t>VDS currently provides on-demand dashboards for a smaller premium vendor group. Its session-based model is effective for deep exploration and security isolation, yet scales poorly to thousands of concurrent vendors and complicates historical comparisons.</w:t>
      </w:r>
      <w:r>
        <w:rPr>
          <w:sz w:val="20"/>
          <w:szCs w:val="20"/>
        </w:rPr>
        <w:t xml:space="preserve"> </w:t>
      </w:r>
      <w:r w:rsidRPr="009206BA">
        <w:rPr>
          <w:sz w:val="20"/>
          <w:szCs w:val="20"/>
        </w:rPr>
        <w:t>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2B82EAED" w14:textId="3415852B" w:rsidR="00EB609A" w:rsidRPr="00EB609A" w:rsidRDefault="00EB609A" w:rsidP="009206BA">
      <w:pPr>
        <w:pStyle w:val="Heading1"/>
      </w:pPr>
      <w:r w:rsidRPr="00EB609A">
        <w:t>Entitlement Overview — Classes of Benefit</w:t>
      </w:r>
    </w:p>
    <w:p w14:paraId="25CFC962" w14:textId="7B5F990B" w:rsidR="009206BA" w:rsidRPr="009206BA" w:rsidRDefault="009206BA" w:rsidP="009206BA">
      <w:pPr>
        <w:spacing w:line="240" w:lineRule="auto"/>
        <w:rPr>
          <w:sz w:val="20"/>
          <w:szCs w:val="20"/>
        </w:rPr>
      </w:pPr>
      <w:r w:rsidRPr="009206BA">
        <w:rPr>
          <w:sz w:val="20"/>
          <w:szCs w:val="20"/>
        </w:rPr>
        <w:t>1. Operational Cohesion and Efficiency</w:t>
      </w:r>
    </w:p>
    <w:p w14:paraId="7359CA2F" w14:textId="34EF716B" w:rsidR="009206BA" w:rsidRPr="009206BA" w:rsidRDefault="009206BA" w:rsidP="009206BA">
      <w:pPr>
        <w:spacing w:line="240" w:lineRule="auto"/>
        <w:rPr>
          <w:sz w:val="20"/>
          <w:szCs w:val="20"/>
        </w:rPr>
      </w:pPr>
      <w:r w:rsidRPr="009206BA">
        <w:rPr>
          <w:sz w:val="20"/>
          <w:szCs w:val="20"/>
        </w:rPr>
        <w:t xml:space="preserve">A unified platform eliminates redundant </w:t>
      </w:r>
      <w:r w:rsidR="004120ED">
        <w:rPr>
          <w:sz w:val="20"/>
          <w:szCs w:val="20"/>
        </w:rPr>
        <w:t>action</w:t>
      </w:r>
      <w:r w:rsidRPr="009206BA">
        <w:rPr>
          <w:sz w:val="20"/>
          <w:szCs w:val="20"/>
        </w:rPr>
        <w:t xml:space="preserve"> and manual reconciliations. Internal teams and vendors will draw from the same governed data sources, ensuring consistent interpretation of fill rate, PDP, forecast, and other key metrics. Automated refresh and role-based access—ensuring each vendor sees only their own data—replace </w:t>
      </w:r>
      <w:r w:rsidR="000D00FC">
        <w:rPr>
          <w:sz w:val="20"/>
          <w:szCs w:val="20"/>
        </w:rPr>
        <w:t>brittle</w:t>
      </w:r>
      <w:r w:rsidRPr="009206BA">
        <w:rPr>
          <w:sz w:val="20"/>
          <w:szCs w:val="20"/>
        </w:rPr>
        <w:t xml:space="preserve"> report assembly for both outbound report</w:t>
      </w:r>
      <w:r w:rsidR="004120ED">
        <w:rPr>
          <w:sz w:val="20"/>
          <w:szCs w:val="20"/>
        </w:rPr>
        <w:t>s</w:t>
      </w:r>
      <w:r w:rsidRPr="009206BA">
        <w:rPr>
          <w:sz w:val="20"/>
          <w:szCs w:val="20"/>
        </w:rPr>
        <w:t xml:space="preserve"> and internal </w:t>
      </w:r>
      <w:r w:rsidR="004120ED">
        <w:rPr>
          <w:sz w:val="20"/>
          <w:szCs w:val="20"/>
        </w:rPr>
        <w:t>analyses</w:t>
      </w:r>
      <w:r w:rsidRPr="009206BA">
        <w:rPr>
          <w:sz w:val="20"/>
          <w:szCs w:val="20"/>
        </w:rPr>
        <w:t>.</w:t>
      </w:r>
      <w:r>
        <w:rPr>
          <w:sz w:val="20"/>
          <w:szCs w:val="20"/>
        </w:rPr>
        <w:t xml:space="preserve"> </w:t>
      </w:r>
      <w:r w:rsidRPr="009206BA">
        <w:rPr>
          <w:sz w:val="20"/>
          <w:szCs w:val="20"/>
        </w:rPr>
        <w:t>Th</w:t>
      </w:r>
      <w:r w:rsidR="000D00FC">
        <w:rPr>
          <w:sz w:val="20"/>
          <w:szCs w:val="20"/>
        </w:rPr>
        <w:t xml:space="preserve">is </w:t>
      </w:r>
      <w:r w:rsidRPr="009206BA">
        <w:rPr>
          <w:sz w:val="20"/>
          <w:szCs w:val="20"/>
        </w:rPr>
        <w:t>increase</w:t>
      </w:r>
      <w:r w:rsidR="000D00FC">
        <w:rPr>
          <w:sz w:val="20"/>
          <w:szCs w:val="20"/>
        </w:rPr>
        <w:t>s</w:t>
      </w:r>
      <w:r w:rsidRPr="009206BA">
        <w:rPr>
          <w:sz w:val="20"/>
          <w:szCs w:val="20"/>
        </w:rPr>
        <w:t xml:space="preserve"> analytical capacity </w:t>
      </w:r>
      <w:r w:rsidR="004120ED">
        <w:rPr>
          <w:sz w:val="20"/>
          <w:szCs w:val="20"/>
        </w:rPr>
        <w:t xml:space="preserve">by </w:t>
      </w:r>
      <w:r w:rsidRPr="009206BA">
        <w:rPr>
          <w:sz w:val="20"/>
          <w:szCs w:val="20"/>
        </w:rPr>
        <w:t>focus</w:t>
      </w:r>
      <w:r w:rsidR="004120ED">
        <w:rPr>
          <w:sz w:val="20"/>
          <w:szCs w:val="20"/>
        </w:rPr>
        <w:t xml:space="preserve">ing instock </w:t>
      </w:r>
      <w:r w:rsidRPr="009206BA">
        <w:rPr>
          <w:sz w:val="20"/>
          <w:szCs w:val="20"/>
        </w:rPr>
        <w:t>staff</w:t>
      </w:r>
      <w:r w:rsidR="004120ED">
        <w:rPr>
          <w:sz w:val="20"/>
          <w:szCs w:val="20"/>
        </w:rPr>
        <w:t xml:space="preserve"> on critical decision making</w:t>
      </w:r>
      <w:r w:rsidRPr="009206BA">
        <w:rPr>
          <w:sz w:val="20"/>
          <w:szCs w:val="20"/>
        </w:rPr>
        <w:t>,</w:t>
      </w:r>
      <w:r w:rsidR="004120ED">
        <w:rPr>
          <w:sz w:val="20"/>
          <w:szCs w:val="20"/>
        </w:rPr>
        <w:t xml:space="preserve"> </w:t>
      </w:r>
      <w:r w:rsidRPr="009206BA">
        <w:rPr>
          <w:sz w:val="20"/>
          <w:szCs w:val="20"/>
        </w:rPr>
        <w:t>spend</w:t>
      </w:r>
      <w:r w:rsidR="004120ED">
        <w:rPr>
          <w:sz w:val="20"/>
          <w:szCs w:val="20"/>
        </w:rPr>
        <w:t>ing</w:t>
      </w:r>
      <w:r w:rsidRPr="009206BA">
        <w:rPr>
          <w:sz w:val="20"/>
          <w:szCs w:val="20"/>
        </w:rPr>
        <w:t xml:space="preserve"> less time compiling</w:t>
      </w:r>
      <w:r w:rsidR="004120ED">
        <w:rPr>
          <w:sz w:val="20"/>
          <w:szCs w:val="20"/>
        </w:rPr>
        <w:t xml:space="preserve"> data</w:t>
      </w:r>
      <w:r w:rsidRPr="009206BA">
        <w:rPr>
          <w:sz w:val="20"/>
          <w:szCs w:val="20"/>
        </w:rPr>
        <w:t xml:space="preserve"> and more time on planning, root-cause analysis, and vendor collaboration.</w:t>
      </w:r>
    </w:p>
    <w:p w14:paraId="78FFB870" w14:textId="508877DC" w:rsidR="009206BA" w:rsidRPr="009206BA" w:rsidRDefault="009206BA" w:rsidP="009206BA">
      <w:pPr>
        <w:spacing w:line="240" w:lineRule="auto"/>
        <w:rPr>
          <w:sz w:val="20"/>
          <w:szCs w:val="20"/>
        </w:rPr>
      </w:pPr>
      <w:r w:rsidRPr="009206BA">
        <w:rPr>
          <w:sz w:val="20"/>
          <w:szCs w:val="20"/>
        </w:rPr>
        <w:t>2. Vendor Enablement and Partnership Expansion</w:t>
      </w:r>
    </w:p>
    <w:p w14:paraId="441A4159" w14:textId="4FF0B9F8" w:rsidR="009206BA" w:rsidRPr="009206BA" w:rsidRDefault="009206BA" w:rsidP="009206BA">
      <w:pPr>
        <w:spacing w:line="240" w:lineRule="auto"/>
        <w:rPr>
          <w:sz w:val="20"/>
          <w:szCs w:val="20"/>
        </w:rPr>
      </w:pPr>
      <w:r w:rsidRPr="009206BA">
        <w:rPr>
          <w:sz w:val="20"/>
          <w:szCs w:val="20"/>
        </w:rPr>
        <w:t>Within CPH, vendors gain continuous, self-service access to accurate daily data filtered to their specific SKUs. They will also be able to update contact details and communication preferences directly—streamlining simple administrative tasks without changing oversight or control by ISMs or leadership.</w:t>
      </w:r>
      <w:r>
        <w:rPr>
          <w:sz w:val="20"/>
          <w:szCs w:val="20"/>
        </w:rPr>
        <w:t xml:space="preserve"> </w:t>
      </w:r>
      <w:r w:rsidRPr="009206BA">
        <w:rPr>
          <w:sz w:val="20"/>
          <w:szCs w:val="20"/>
        </w:rPr>
        <w:t>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18474D2" w14:textId="4C131C42" w:rsidR="009206BA" w:rsidRPr="009206BA" w:rsidRDefault="009206BA" w:rsidP="009206BA">
      <w:pPr>
        <w:spacing w:line="240" w:lineRule="auto"/>
        <w:rPr>
          <w:sz w:val="20"/>
          <w:szCs w:val="20"/>
        </w:rPr>
      </w:pPr>
      <w:r w:rsidRPr="009206BA">
        <w:rPr>
          <w:sz w:val="20"/>
          <w:szCs w:val="20"/>
        </w:rPr>
        <w:t>3. Enterprise Data Alignment and Future Readiness</w:t>
      </w:r>
    </w:p>
    <w:p w14:paraId="1D012DBB" w14:textId="77CF525E" w:rsidR="009206BA" w:rsidRPr="009206BA" w:rsidRDefault="009206BA" w:rsidP="009206BA">
      <w:pPr>
        <w:spacing w:line="240" w:lineRule="auto"/>
        <w:rPr>
          <w:sz w:val="20"/>
          <w:szCs w:val="20"/>
        </w:rPr>
      </w:pPr>
      <w:r w:rsidRPr="009206BA">
        <w:rPr>
          <w:sz w:val="20"/>
          <w:szCs w:val="20"/>
        </w:rP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w:t>
      </w:r>
      <w:r w:rsidR="000D00FC">
        <w:rPr>
          <w:sz w:val="20"/>
          <w:szCs w:val="20"/>
        </w:rPr>
        <w:t xml:space="preserve"> To support additions or updates to collaborative data, changes can be made  at the single source, flowing immediately and uniformly to all users. </w:t>
      </w:r>
      <w:r w:rsidRPr="009206BA">
        <w:rPr>
          <w:sz w:val="20"/>
          <w:szCs w:val="20"/>
        </w:rPr>
        <w:t>The structured design</w:t>
      </w:r>
      <w:r w:rsidR="000D00FC">
        <w:rPr>
          <w:sz w:val="20"/>
          <w:szCs w:val="20"/>
        </w:rPr>
        <w:t xml:space="preserve"> also</w:t>
      </w:r>
      <w:r w:rsidRPr="009206BA">
        <w:rPr>
          <w:sz w:val="20"/>
          <w:szCs w:val="20"/>
        </w:rPr>
        <w:t xml:space="preserve"> lays the groundwork for advanced analytics, machine learning, and AI-driven automation, minimizing the preparation traditionally required. What began as operational reporting becomes a durable enterprise asset supporting Chewy’s digital evolution.</w:t>
      </w:r>
    </w:p>
    <w:p w14:paraId="3DDBDCCA" w14:textId="4E5F5E7E" w:rsidR="009206BA" w:rsidRPr="009206BA" w:rsidRDefault="009206BA" w:rsidP="009206BA">
      <w:pPr>
        <w:spacing w:line="240" w:lineRule="auto"/>
        <w:rPr>
          <w:sz w:val="20"/>
          <w:szCs w:val="20"/>
        </w:rPr>
      </w:pPr>
      <w:r w:rsidRPr="009206BA">
        <w:rPr>
          <w:sz w:val="20"/>
          <w:szCs w:val="20"/>
        </w:rPr>
        <w:lastRenderedPageBreak/>
        <w:t>4. Strategic Growth Enablement</w:t>
      </w:r>
    </w:p>
    <w:p w14:paraId="18CF104E" w14:textId="75E1E43B" w:rsidR="009206BA" w:rsidRPr="009206BA" w:rsidRDefault="009206BA" w:rsidP="009206BA">
      <w:pPr>
        <w:spacing w:line="240" w:lineRule="auto"/>
        <w:rPr>
          <w:sz w:val="20"/>
          <w:szCs w:val="20"/>
        </w:rPr>
      </w:pPr>
      <w:r w:rsidRPr="009206BA">
        <w:rPr>
          <w:sz w:val="20"/>
          <w:szCs w:val="20"/>
        </w:rP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w:t>
      </w:r>
      <w:r>
        <w:rPr>
          <w:sz w:val="20"/>
          <w:szCs w:val="20"/>
        </w:rPr>
        <w:t xml:space="preserve"> </w:t>
      </w:r>
      <w:r w:rsidRPr="009206BA">
        <w:rPr>
          <w:sz w:val="20"/>
          <w:szCs w:val="20"/>
        </w:rPr>
        <w:t xml:space="preserve">This shared platform reduces duplication, simplifies vendor engagement, and establishes a foundation for future cross-program dashboards and enterprise-wide visibility. </w:t>
      </w:r>
    </w:p>
    <w:p w14:paraId="033DD847" w14:textId="5495FB1B" w:rsidR="00EB609A" w:rsidRPr="009206BA" w:rsidRDefault="00D46C6F" w:rsidP="009206BA">
      <w:pPr>
        <w:pStyle w:val="Heading1"/>
      </w:pPr>
      <w:r w:rsidRPr="009206BA">
        <w:t xml:space="preserve">[WIP] </w:t>
      </w:r>
      <w:r w:rsidR="00EB609A" w:rsidRPr="009206BA">
        <w:t>Quantitative Snapshot</w:t>
      </w:r>
    </w:p>
    <w:tbl>
      <w:tblPr>
        <w:tblW w:w="0" w:type="auto"/>
        <w:tblCellSpacing w:w="15" w:type="dxa"/>
        <w:tblLayout w:type="fixed"/>
        <w:tblCellMar>
          <w:left w:w="29" w:type="dxa"/>
          <w:right w:w="15" w:type="dxa"/>
        </w:tblCellMar>
        <w:tblLook w:val="04A0" w:firstRow="1" w:lastRow="0" w:firstColumn="1" w:lastColumn="0" w:noHBand="0" w:noVBand="1"/>
      </w:tblPr>
      <w:tblGrid>
        <w:gridCol w:w="2690"/>
        <w:gridCol w:w="3380"/>
        <w:gridCol w:w="1846"/>
        <w:gridCol w:w="2884"/>
      </w:tblGrid>
      <w:tr w:rsidR="00EB609A" w:rsidRPr="00EB609A" w14:paraId="1157B756" w14:textId="77777777" w:rsidTr="00F3243C">
        <w:trPr>
          <w:tblHeader/>
          <w:tblCellSpacing w:w="15" w:type="dxa"/>
        </w:trPr>
        <w:tc>
          <w:tcPr>
            <w:tcW w:w="2645" w:type="dxa"/>
            <w:shd w:val="clear" w:color="auto" w:fill="4C94D8" w:themeFill="text2" w:themeFillTint="80"/>
            <w:vAlign w:val="center"/>
            <w:hideMark/>
          </w:tcPr>
          <w:p w14:paraId="769ECC6B" w14:textId="77777777" w:rsidR="00EB609A" w:rsidRPr="00EB609A" w:rsidRDefault="00EB609A" w:rsidP="003C6BE6">
            <w:pPr>
              <w:spacing w:after="60" w:line="264" w:lineRule="auto"/>
              <w:rPr>
                <w:b/>
                <w:bCs/>
                <w:color w:val="FFFFFF" w:themeColor="background1"/>
                <w:sz w:val="20"/>
                <w:szCs w:val="20"/>
              </w:rPr>
            </w:pPr>
            <w:r w:rsidRPr="00EB609A">
              <w:rPr>
                <w:b/>
                <w:bCs/>
                <w:color w:val="FFFFFF" w:themeColor="background1"/>
                <w:sz w:val="20"/>
                <w:szCs w:val="20"/>
              </w:rPr>
              <w:t>Benefit Category</w:t>
            </w:r>
          </w:p>
        </w:tc>
        <w:tc>
          <w:tcPr>
            <w:tcW w:w="3350" w:type="dxa"/>
            <w:shd w:val="clear" w:color="auto" w:fill="4C94D8" w:themeFill="text2" w:themeFillTint="80"/>
            <w:vAlign w:val="center"/>
            <w:hideMark/>
          </w:tcPr>
          <w:p w14:paraId="451520A8" w14:textId="77777777" w:rsidR="00EB609A" w:rsidRPr="00EB609A" w:rsidRDefault="00EB609A" w:rsidP="003C6BE6">
            <w:pPr>
              <w:spacing w:after="60" w:line="264" w:lineRule="auto"/>
              <w:rPr>
                <w:b/>
                <w:bCs/>
                <w:color w:val="FFFFFF" w:themeColor="background1"/>
                <w:sz w:val="20"/>
                <w:szCs w:val="20"/>
              </w:rPr>
            </w:pPr>
            <w:r w:rsidRPr="00EB609A">
              <w:rPr>
                <w:b/>
                <w:bCs/>
                <w:color w:val="FFFFFF" w:themeColor="background1"/>
                <w:sz w:val="20"/>
                <w:szCs w:val="20"/>
              </w:rPr>
              <w:t>Estimation Basis</w:t>
            </w:r>
          </w:p>
        </w:tc>
        <w:tc>
          <w:tcPr>
            <w:tcW w:w="1816" w:type="dxa"/>
            <w:shd w:val="clear" w:color="auto" w:fill="4C94D8" w:themeFill="text2" w:themeFillTint="80"/>
            <w:vAlign w:val="center"/>
            <w:hideMark/>
          </w:tcPr>
          <w:p w14:paraId="56929A48" w14:textId="74D76B91" w:rsidR="00EB609A" w:rsidRPr="00EB609A" w:rsidRDefault="00F3243C" w:rsidP="003C6BE6">
            <w:pPr>
              <w:spacing w:after="60" w:line="264" w:lineRule="auto"/>
              <w:rPr>
                <w:b/>
                <w:bCs/>
                <w:color w:val="FFFFFF" w:themeColor="background1"/>
                <w:sz w:val="20"/>
                <w:szCs w:val="20"/>
              </w:rPr>
            </w:pPr>
            <w:r w:rsidRPr="00F3243C">
              <w:rPr>
                <w:b/>
                <w:bCs/>
                <w:color w:val="FFFFFF" w:themeColor="background1"/>
                <w:sz w:val="20"/>
                <w:szCs w:val="20"/>
              </w:rPr>
              <w:t xml:space="preserve">Appx. </w:t>
            </w:r>
            <w:r w:rsidR="00EB609A" w:rsidRPr="00EB609A">
              <w:rPr>
                <w:b/>
                <w:bCs/>
                <w:color w:val="FFFFFF" w:themeColor="background1"/>
                <w:sz w:val="20"/>
                <w:szCs w:val="20"/>
              </w:rPr>
              <w:t>1st-Yr Value</w:t>
            </w:r>
          </w:p>
        </w:tc>
        <w:tc>
          <w:tcPr>
            <w:tcW w:w="2839" w:type="dxa"/>
            <w:shd w:val="clear" w:color="auto" w:fill="4C94D8" w:themeFill="text2" w:themeFillTint="80"/>
            <w:vAlign w:val="center"/>
            <w:hideMark/>
          </w:tcPr>
          <w:p w14:paraId="5135A069" w14:textId="6F60E7BC" w:rsidR="00EB609A" w:rsidRPr="00EB609A" w:rsidRDefault="00EB609A" w:rsidP="003C6BE6">
            <w:pPr>
              <w:spacing w:after="60" w:line="264" w:lineRule="auto"/>
              <w:rPr>
                <w:b/>
                <w:bCs/>
                <w:color w:val="FFFFFF" w:themeColor="background1"/>
                <w:sz w:val="20"/>
                <w:szCs w:val="20"/>
              </w:rPr>
            </w:pPr>
            <w:r w:rsidRPr="00EB609A">
              <w:rPr>
                <w:b/>
                <w:bCs/>
                <w:color w:val="FFFFFF" w:themeColor="background1"/>
                <w:sz w:val="20"/>
                <w:szCs w:val="20"/>
              </w:rPr>
              <w:t>Key Assumption</w:t>
            </w:r>
            <w:r w:rsidR="00F3243C">
              <w:rPr>
                <w:b/>
                <w:bCs/>
                <w:color w:val="FFFFFF" w:themeColor="background1"/>
                <w:sz w:val="20"/>
                <w:szCs w:val="20"/>
              </w:rPr>
              <w:t>(s)</w:t>
            </w:r>
          </w:p>
        </w:tc>
      </w:tr>
      <w:tr w:rsidR="00EB609A" w:rsidRPr="00EB609A" w14:paraId="07F39D83" w14:textId="77777777" w:rsidTr="00F755E2">
        <w:trPr>
          <w:tblCellSpacing w:w="15" w:type="dxa"/>
        </w:trPr>
        <w:tc>
          <w:tcPr>
            <w:tcW w:w="2645" w:type="dxa"/>
            <w:tcBorders>
              <w:bottom w:val="dotted" w:sz="4" w:space="0" w:color="0070C0"/>
            </w:tcBorders>
            <w:hideMark/>
          </w:tcPr>
          <w:p w14:paraId="6D2113E3" w14:textId="77777777" w:rsidR="00EB609A" w:rsidRPr="00EB609A" w:rsidRDefault="00EB609A" w:rsidP="003C6BE6">
            <w:pPr>
              <w:spacing w:after="0" w:line="264" w:lineRule="auto"/>
              <w:rPr>
                <w:sz w:val="20"/>
                <w:szCs w:val="20"/>
              </w:rPr>
            </w:pPr>
            <w:r w:rsidRPr="00EB609A">
              <w:rPr>
                <w:sz w:val="20"/>
                <w:szCs w:val="20"/>
              </w:rPr>
              <w:t>Operational Cohesion &amp; Efficiency</w:t>
            </w:r>
          </w:p>
        </w:tc>
        <w:tc>
          <w:tcPr>
            <w:tcW w:w="3350" w:type="dxa"/>
            <w:tcBorders>
              <w:bottom w:val="dotted" w:sz="4" w:space="0" w:color="0070C0"/>
            </w:tcBorders>
            <w:hideMark/>
          </w:tcPr>
          <w:p w14:paraId="2904EDC4" w14:textId="45029AD0" w:rsidR="00EB609A" w:rsidRPr="00EB609A" w:rsidRDefault="004120ED" w:rsidP="003C6BE6">
            <w:pPr>
              <w:spacing w:after="0" w:line="264" w:lineRule="auto"/>
              <w:rPr>
                <w:sz w:val="20"/>
                <w:szCs w:val="20"/>
              </w:rPr>
            </w:pPr>
            <w:r>
              <w:rPr>
                <w:sz w:val="20"/>
                <w:szCs w:val="20"/>
              </w:rPr>
              <w:t>36</w:t>
            </w:r>
            <w:r w:rsidR="00EB609A" w:rsidRPr="00EB609A">
              <w:rPr>
                <w:sz w:val="20"/>
                <w:szCs w:val="20"/>
              </w:rPr>
              <w:t xml:space="preserve"> team members × </w:t>
            </w:r>
            <w:r>
              <w:rPr>
                <w:sz w:val="20"/>
                <w:szCs w:val="20"/>
              </w:rPr>
              <w:t>2</w:t>
            </w:r>
            <w:r w:rsidR="00EB609A" w:rsidRPr="00EB609A">
              <w:rPr>
                <w:sz w:val="20"/>
                <w:szCs w:val="20"/>
              </w:rPr>
              <w:t xml:space="preserve"> h</w:t>
            </w:r>
            <w:r w:rsidR="00FB2CDB">
              <w:rPr>
                <w:sz w:val="20"/>
                <w:szCs w:val="20"/>
              </w:rPr>
              <w:t>ou</w:t>
            </w:r>
            <w:r w:rsidR="00EB609A" w:rsidRPr="00EB609A">
              <w:rPr>
                <w:sz w:val="20"/>
                <w:szCs w:val="20"/>
              </w:rPr>
              <w:t>rs/week reallocated to higher-value work</w:t>
            </w:r>
          </w:p>
        </w:tc>
        <w:tc>
          <w:tcPr>
            <w:tcW w:w="1816" w:type="dxa"/>
            <w:tcBorders>
              <w:bottom w:val="dotted" w:sz="4" w:space="0" w:color="0070C0"/>
            </w:tcBorders>
            <w:hideMark/>
          </w:tcPr>
          <w:p w14:paraId="3D224D3F" w14:textId="1352BE0D" w:rsidR="00EB609A" w:rsidRPr="00EB609A" w:rsidRDefault="00EB609A" w:rsidP="003C6BE6">
            <w:pPr>
              <w:spacing w:after="0" w:line="264" w:lineRule="auto"/>
              <w:rPr>
                <w:sz w:val="20"/>
                <w:szCs w:val="20"/>
              </w:rPr>
            </w:pPr>
            <w:r w:rsidRPr="00EB609A">
              <w:rPr>
                <w:b/>
                <w:bCs/>
                <w:sz w:val="20"/>
                <w:szCs w:val="20"/>
              </w:rPr>
              <w:t>$ 6</w:t>
            </w:r>
            <w:r w:rsidR="0017095A">
              <w:rPr>
                <w:b/>
                <w:bCs/>
                <w:sz w:val="20"/>
                <w:szCs w:val="20"/>
              </w:rPr>
              <w:t>08</w:t>
            </w:r>
            <w:r w:rsidRPr="00EB609A">
              <w:rPr>
                <w:b/>
                <w:bCs/>
                <w:sz w:val="20"/>
                <w:szCs w:val="20"/>
              </w:rPr>
              <w:t xml:space="preserve"> k</w:t>
            </w:r>
          </w:p>
        </w:tc>
        <w:tc>
          <w:tcPr>
            <w:tcW w:w="2839" w:type="dxa"/>
            <w:tcBorders>
              <w:bottom w:val="dotted" w:sz="4" w:space="0" w:color="0070C0"/>
            </w:tcBorders>
            <w:hideMark/>
          </w:tcPr>
          <w:p w14:paraId="67FA49F1" w14:textId="77777777" w:rsidR="00EB609A" w:rsidRPr="00EB609A" w:rsidRDefault="00EB609A" w:rsidP="003C6BE6">
            <w:pPr>
              <w:spacing w:after="0" w:line="264" w:lineRule="auto"/>
              <w:rPr>
                <w:sz w:val="20"/>
                <w:szCs w:val="20"/>
              </w:rPr>
            </w:pPr>
            <w:r w:rsidRPr="00EB609A">
              <w:rPr>
                <w:sz w:val="20"/>
                <w:szCs w:val="20"/>
              </w:rPr>
              <w:t>Capacity redirected from manual prep to analysis</w:t>
            </w:r>
          </w:p>
        </w:tc>
      </w:tr>
      <w:tr w:rsidR="00EB609A" w:rsidRPr="00EB609A" w14:paraId="79ACD1F8" w14:textId="77777777" w:rsidTr="00F755E2">
        <w:trPr>
          <w:tblCellSpacing w:w="15" w:type="dxa"/>
        </w:trPr>
        <w:tc>
          <w:tcPr>
            <w:tcW w:w="2645" w:type="dxa"/>
            <w:tcBorders>
              <w:top w:val="dotted" w:sz="4" w:space="0" w:color="0070C0"/>
              <w:bottom w:val="dotted" w:sz="4" w:space="0" w:color="0070C0"/>
            </w:tcBorders>
            <w:hideMark/>
          </w:tcPr>
          <w:p w14:paraId="27EE60D7" w14:textId="77777777" w:rsidR="00EB609A" w:rsidRPr="00EB609A" w:rsidRDefault="00EB609A" w:rsidP="003C6BE6">
            <w:pPr>
              <w:spacing w:after="0" w:line="264" w:lineRule="auto"/>
              <w:rPr>
                <w:sz w:val="20"/>
                <w:szCs w:val="20"/>
              </w:rPr>
            </w:pPr>
            <w:r w:rsidRPr="00EB609A">
              <w:rPr>
                <w:sz w:val="20"/>
                <w:szCs w:val="20"/>
              </w:rPr>
              <w:t>Vendor Enablement &amp; Partnership Expansion</w:t>
            </w:r>
          </w:p>
        </w:tc>
        <w:tc>
          <w:tcPr>
            <w:tcW w:w="3350" w:type="dxa"/>
            <w:tcBorders>
              <w:top w:val="dotted" w:sz="4" w:space="0" w:color="0070C0"/>
              <w:bottom w:val="dotted" w:sz="4" w:space="0" w:color="0070C0"/>
            </w:tcBorders>
            <w:hideMark/>
          </w:tcPr>
          <w:p w14:paraId="7F05DF0F" w14:textId="77777777" w:rsidR="00EB609A" w:rsidRPr="00EB609A" w:rsidRDefault="00EB609A" w:rsidP="003C6BE6">
            <w:pPr>
              <w:spacing w:after="0" w:line="264" w:lineRule="auto"/>
              <w:rPr>
                <w:sz w:val="20"/>
                <w:szCs w:val="20"/>
              </w:rPr>
            </w:pPr>
            <w:r w:rsidRPr="00EB609A">
              <w:rPr>
                <w:sz w:val="20"/>
                <w:szCs w:val="20"/>
              </w:rPr>
              <w:t>2,350 vendors × avg $ 300 value / vendor</w:t>
            </w:r>
          </w:p>
        </w:tc>
        <w:tc>
          <w:tcPr>
            <w:tcW w:w="1816" w:type="dxa"/>
            <w:tcBorders>
              <w:top w:val="dotted" w:sz="4" w:space="0" w:color="0070C0"/>
              <w:bottom w:val="dotted" w:sz="4" w:space="0" w:color="0070C0"/>
            </w:tcBorders>
            <w:hideMark/>
          </w:tcPr>
          <w:p w14:paraId="1F4B432E" w14:textId="341CF5F6" w:rsidR="00EB609A" w:rsidRPr="00EB609A" w:rsidRDefault="00EB609A" w:rsidP="003C6BE6">
            <w:pPr>
              <w:spacing w:after="0" w:line="264" w:lineRule="auto"/>
              <w:rPr>
                <w:sz w:val="20"/>
                <w:szCs w:val="20"/>
              </w:rPr>
            </w:pPr>
            <w:r w:rsidRPr="00EB609A">
              <w:rPr>
                <w:b/>
                <w:bCs/>
                <w:sz w:val="20"/>
                <w:szCs w:val="20"/>
              </w:rPr>
              <w:t>$ 7</w:t>
            </w:r>
            <w:r w:rsidR="006C78CF">
              <w:rPr>
                <w:b/>
                <w:bCs/>
                <w:sz w:val="20"/>
                <w:szCs w:val="20"/>
              </w:rPr>
              <w:t>06</w:t>
            </w:r>
            <w:r w:rsidRPr="00EB609A">
              <w:rPr>
                <w:b/>
                <w:bCs/>
                <w:sz w:val="20"/>
                <w:szCs w:val="20"/>
              </w:rPr>
              <w:t xml:space="preserve"> k</w:t>
            </w:r>
          </w:p>
        </w:tc>
        <w:tc>
          <w:tcPr>
            <w:tcW w:w="2839" w:type="dxa"/>
            <w:tcBorders>
              <w:top w:val="dotted" w:sz="4" w:space="0" w:color="0070C0"/>
              <w:bottom w:val="dotted" w:sz="4" w:space="0" w:color="0070C0"/>
            </w:tcBorders>
            <w:hideMark/>
          </w:tcPr>
          <w:p w14:paraId="255CF196" w14:textId="77777777" w:rsidR="00EB609A" w:rsidRPr="00EB609A" w:rsidRDefault="00EB609A" w:rsidP="003C6BE6">
            <w:pPr>
              <w:spacing w:after="0" w:line="264" w:lineRule="auto"/>
              <w:rPr>
                <w:sz w:val="20"/>
                <w:szCs w:val="20"/>
              </w:rPr>
            </w:pPr>
            <w:r w:rsidRPr="00EB609A">
              <w:rPr>
                <w:sz w:val="20"/>
                <w:szCs w:val="20"/>
              </w:rPr>
              <w:t>Faster vendor decisions, reduced friction</w:t>
            </w:r>
          </w:p>
        </w:tc>
      </w:tr>
      <w:tr w:rsidR="00EB609A" w:rsidRPr="00EB609A" w14:paraId="2C5B02D7" w14:textId="77777777" w:rsidTr="00F755E2">
        <w:trPr>
          <w:tblCellSpacing w:w="15" w:type="dxa"/>
        </w:trPr>
        <w:tc>
          <w:tcPr>
            <w:tcW w:w="2645" w:type="dxa"/>
            <w:tcBorders>
              <w:top w:val="dotted" w:sz="4" w:space="0" w:color="0070C0"/>
              <w:bottom w:val="dotted" w:sz="4" w:space="0" w:color="0070C0"/>
            </w:tcBorders>
            <w:hideMark/>
          </w:tcPr>
          <w:p w14:paraId="7600060F" w14:textId="77777777" w:rsidR="00EB609A" w:rsidRPr="00EB609A" w:rsidRDefault="00EB609A" w:rsidP="003C6BE6">
            <w:pPr>
              <w:spacing w:after="0" w:line="264" w:lineRule="auto"/>
              <w:rPr>
                <w:sz w:val="20"/>
                <w:szCs w:val="20"/>
              </w:rPr>
            </w:pPr>
            <w:r w:rsidRPr="00EB609A">
              <w:rPr>
                <w:sz w:val="20"/>
                <w:szCs w:val="20"/>
              </w:rPr>
              <w:t>Enterprise Data Alignment &amp; Future Readiness</w:t>
            </w:r>
          </w:p>
        </w:tc>
        <w:tc>
          <w:tcPr>
            <w:tcW w:w="3350" w:type="dxa"/>
            <w:tcBorders>
              <w:top w:val="dotted" w:sz="4" w:space="0" w:color="0070C0"/>
              <w:bottom w:val="dotted" w:sz="4" w:space="0" w:color="0070C0"/>
            </w:tcBorders>
            <w:hideMark/>
          </w:tcPr>
          <w:p w14:paraId="79F56E19" w14:textId="32FA7280" w:rsidR="00EB609A" w:rsidRPr="00EB609A" w:rsidRDefault="00EB609A" w:rsidP="003C6BE6">
            <w:pPr>
              <w:spacing w:after="0" w:line="264" w:lineRule="auto"/>
              <w:rPr>
                <w:sz w:val="20"/>
                <w:szCs w:val="20"/>
              </w:rPr>
            </w:pPr>
            <w:r w:rsidRPr="00EB609A">
              <w:rPr>
                <w:sz w:val="20"/>
                <w:szCs w:val="20"/>
              </w:rPr>
              <w:t xml:space="preserve">Fewer data inconsistencies </w:t>
            </w:r>
            <w:r w:rsidR="00F755E2">
              <w:rPr>
                <w:sz w:val="20"/>
                <w:szCs w:val="20"/>
              </w:rPr>
              <w:t>&amp;</w:t>
            </w:r>
            <w:r w:rsidRPr="00EB609A">
              <w:rPr>
                <w:sz w:val="20"/>
                <w:szCs w:val="20"/>
              </w:rPr>
              <w:t xml:space="preserve"> rework</w:t>
            </w:r>
          </w:p>
        </w:tc>
        <w:tc>
          <w:tcPr>
            <w:tcW w:w="1816" w:type="dxa"/>
            <w:tcBorders>
              <w:top w:val="dotted" w:sz="4" w:space="0" w:color="0070C0"/>
              <w:bottom w:val="dotted" w:sz="4" w:space="0" w:color="0070C0"/>
            </w:tcBorders>
            <w:hideMark/>
          </w:tcPr>
          <w:p w14:paraId="578DB0A3" w14:textId="25E95E6C" w:rsidR="00EB609A" w:rsidRPr="00EB609A" w:rsidRDefault="00EB609A" w:rsidP="003C6BE6">
            <w:pPr>
              <w:spacing w:after="0" w:line="264" w:lineRule="auto"/>
              <w:rPr>
                <w:sz w:val="20"/>
                <w:szCs w:val="20"/>
              </w:rPr>
            </w:pPr>
            <w:r w:rsidRPr="00EB609A">
              <w:rPr>
                <w:b/>
                <w:bCs/>
                <w:sz w:val="20"/>
                <w:szCs w:val="20"/>
              </w:rPr>
              <w:t xml:space="preserve">$ </w:t>
            </w:r>
            <w:r w:rsidR="002565C9">
              <w:rPr>
                <w:b/>
                <w:bCs/>
                <w:sz w:val="20"/>
                <w:szCs w:val="20"/>
              </w:rPr>
              <w:t>375</w:t>
            </w:r>
            <w:r w:rsidRPr="00EB609A">
              <w:rPr>
                <w:b/>
                <w:bCs/>
                <w:sz w:val="20"/>
                <w:szCs w:val="20"/>
              </w:rPr>
              <w:t xml:space="preserve"> k</w:t>
            </w:r>
          </w:p>
        </w:tc>
        <w:tc>
          <w:tcPr>
            <w:tcW w:w="2839" w:type="dxa"/>
            <w:tcBorders>
              <w:top w:val="dotted" w:sz="4" w:space="0" w:color="0070C0"/>
              <w:bottom w:val="dotted" w:sz="4" w:space="0" w:color="0070C0"/>
            </w:tcBorders>
            <w:hideMark/>
          </w:tcPr>
          <w:p w14:paraId="71BE4B48" w14:textId="77777777" w:rsidR="00EB609A" w:rsidRPr="00EB609A" w:rsidRDefault="00EB609A" w:rsidP="003C6BE6">
            <w:pPr>
              <w:spacing w:after="0" w:line="264" w:lineRule="auto"/>
              <w:rPr>
                <w:sz w:val="20"/>
                <w:szCs w:val="20"/>
              </w:rPr>
            </w:pPr>
            <w:r w:rsidRPr="00EB609A">
              <w:rPr>
                <w:sz w:val="20"/>
                <w:szCs w:val="20"/>
              </w:rPr>
              <w:t>Improved accuracy across teams</w:t>
            </w:r>
          </w:p>
        </w:tc>
      </w:tr>
      <w:tr w:rsidR="00F755E2" w:rsidRPr="00EB609A" w14:paraId="664A7250" w14:textId="77777777" w:rsidTr="00F755E2">
        <w:trPr>
          <w:tblCellSpacing w:w="15" w:type="dxa"/>
        </w:trPr>
        <w:tc>
          <w:tcPr>
            <w:tcW w:w="2645" w:type="dxa"/>
            <w:tcBorders>
              <w:top w:val="dotted" w:sz="4" w:space="0" w:color="0070C0"/>
            </w:tcBorders>
            <w:hideMark/>
          </w:tcPr>
          <w:p w14:paraId="3A88CB59" w14:textId="77777777" w:rsidR="00EB609A" w:rsidRPr="002565C9" w:rsidRDefault="00EB609A" w:rsidP="003C6BE6">
            <w:pPr>
              <w:spacing w:after="0" w:line="264" w:lineRule="auto"/>
              <w:rPr>
                <w:i/>
                <w:iCs/>
                <w:color w:val="7F7F7F" w:themeColor="text1" w:themeTint="80"/>
                <w:sz w:val="20"/>
                <w:szCs w:val="20"/>
              </w:rPr>
            </w:pPr>
            <w:r w:rsidRPr="002565C9">
              <w:rPr>
                <w:i/>
                <w:iCs/>
                <w:color w:val="7F7F7F" w:themeColor="text1" w:themeTint="80"/>
                <w:sz w:val="20"/>
                <w:szCs w:val="20"/>
              </w:rPr>
              <w:t>Strategic Growth Enablement</w:t>
            </w:r>
          </w:p>
        </w:tc>
        <w:tc>
          <w:tcPr>
            <w:tcW w:w="3350" w:type="dxa"/>
            <w:tcBorders>
              <w:top w:val="dotted" w:sz="4" w:space="0" w:color="0070C0"/>
            </w:tcBorders>
            <w:hideMark/>
          </w:tcPr>
          <w:p w14:paraId="2CEDD59F" w14:textId="77777777" w:rsidR="00EB609A" w:rsidRPr="002565C9" w:rsidRDefault="00EB609A" w:rsidP="003C6BE6">
            <w:pPr>
              <w:spacing w:after="0" w:line="264" w:lineRule="auto"/>
              <w:rPr>
                <w:i/>
                <w:iCs/>
                <w:color w:val="7F7F7F" w:themeColor="text1" w:themeTint="80"/>
                <w:sz w:val="20"/>
                <w:szCs w:val="20"/>
              </w:rPr>
            </w:pPr>
            <w:r w:rsidRPr="002565C9">
              <w:rPr>
                <w:i/>
                <w:iCs/>
                <w:color w:val="7F7F7F" w:themeColor="text1" w:themeTint="80"/>
                <w:sz w:val="20"/>
                <w:szCs w:val="20"/>
              </w:rPr>
              <w:t>Synergy benefits and shared infrastructure reuse</w:t>
            </w:r>
          </w:p>
        </w:tc>
        <w:tc>
          <w:tcPr>
            <w:tcW w:w="1816" w:type="dxa"/>
            <w:tcBorders>
              <w:top w:val="dotted" w:sz="4" w:space="0" w:color="0070C0"/>
              <w:bottom w:val="double" w:sz="4" w:space="0" w:color="0070C0"/>
            </w:tcBorders>
            <w:hideMark/>
          </w:tcPr>
          <w:p w14:paraId="3B2908C2" w14:textId="11A1EC14" w:rsidR="00EB609A" w:rsidRPr="002565C9" w:rsidRDefault="00EB609A" w:rsidP="003C6BE6">
            <w:pPr>
              <w:spacing w:after="0" w:line="264" w:lineRule="auto"/>
              <w:rPr>
                <w:b/>
                <w:bCs/>
                <w:i/>
                <w:iCs/>
                <w:color w:val="7F7F7F" w:themeColor="text1" w:themeTint="80"/>
                <w:sz w:val="20"/>
                <w:szCs w:val="20"/>
              </w:rPr>
            </w:pPr>
            <w:r w:rsidRPr="002565C9">
              <w:rPr>
                <w:b/>
                <w:bCs/>
                <w:i/>
                <w:iCs/>
                <w:color w:val="7F7F7F" w:themeColor="text1" w:themeTint="80"/>
                <w:sz w:val="20"/>
                <w:szCs w:val="20"/>
              </w:rPr>
              <w:t>$ 6</w:t>
            </w:r>
            <w:r w:rsidR="00413C4B" w:rsidRPr="002565C9">
              <w:rPr>
                <w:b/>
                <w:bCs/>
                <w:i/>
                <w:iCs/>
                <w:color w:val="7F7F7F" w:themeColor="text1" w:themeTint="80"/>
                <w:sz w:val="20"/>
                <w:szCs w:val="20"/>
              </w:rPr>
              <w:t>2</w:t>
            </w:r>
            <w:r w:rsidRPr="002565C9">
              <w:rPr>
                <w:b/>
                <w:bCs/>
                <w:i/>
                <w:iCs/>
                <w:color w:val="7F7F7F" w:themeColor="text1" w:themeTint="80"/>
                <w:sz w:val="20"/>
                <w:szCs w:val="20"/>
              </w:rPr>
              <w:t>5 k</w:t>
            </w:r>
            <w:r w:rsidR="002565C9">
              <w:rPr>
                <w:b/>
                <w:bCs/>
                <w:i/>
                <w:iCs/>
                <w:color w:val="7F7F7F" w:themeColor="text1" w:themeTint="80"/>
                <w:sz w:val="20"/>
                <w:szCs w:val="20"/>
              </w:rPr>
              <w:t>*</w:t>
            </w:r>
          </w:p>
        </w:tc>
        <w:tc>
          <w:tcPr>
            <w:tcW w:w="2839" w:type="dxa"/>
            <w:tcBorders>
              <w:top w:val="dotted" w:sz="4" w:space="0" w:color="0070C0"/>
              <w:bottom w:val="double" w:sz="4" w:space="0" w:color="0070C0"/>
            </w:tcBorders>
            <w:hideMark/>
          </w:tcPr>
          <w:p w14:paraId="3041C5B5" w14:textId="77777777" w:rsidR="00EB609A" w:rsidRPr="002565C9" w:rsidRDefault="00EB609A" w:rsidP="003C6BE6">
            <w:pPr>
              <w:spacing w:after="0" w:line="264" w:lineRule="auto"/>
              <w:rPr>
                <w:i/>
                <w:iCs/>
                <w:color w:val="7F7F7F" w:themeColor="text1" w:themeTint="80"/>
                <w:sz w:val="20"/>
                <w:szCs w:val="20"/>
              </w:rPr>
            </w:pPr>
            <w:r w:rsidRPr="002565C9">
              <w:rPr>
                <w:i/>
                <w:iCs/>
                <w:color w:val="7F7F7F" w:themeColor="text1" w:themeTint="80"/>
                <w:sz w:val="20"/>
                <w:szCs w:val="20"/>
              </w:rPr>
              <w:t>Multi-program applicability</w:t>
            </w:r>
          </w:p>
        </w:tc>
      </w:tr>
      <w:tr w:rsidR="00EB609A" w:rsidRPr="00EB609A" w14:paraId="78093609" w14:textId="77777777" w:rsidTr="00F3243C">
        <w:trPr>
          <w:trHeight w:val="288"/>
          <w:tblCellSpacing w:w="15" w:type="dxa"/>
        </w:trPr>
        <w:tc>
          <w:tcPr>
            <w:tcW w:w="2645" w:type="dxa"/>
            <w:vAlign w:val="center"/>
            <w:hideMark/>
          </w:tcPr>
          <w:p w14:paraId="511064CB" w14:textId="0529FE10" w:rsidR="00EB609A" w:rsidRPr="00EB609A" w:rsidRDefault="00EB609A" w:rsidP="003C6BE6">
            <w:pPr>
              <w:spacing w:after="0" w:line="264" w:lineRule="auto"/>
              <w:rPr>
                <w:sz w:val="20"/>
                <w:szCs w:val="20"/>
              </w:rPr>
            </w:pPr>
          </w:p>
        </w:tc>
        <w:tc>
          <w:tcPr>
            <w:tcW w:w="3350" w:type="dxa"/>
            <w:vAlign w:val="center"/>
            <w:hideMark/>
          </w:tcPr>
          <w:p w14:paraId="7CF791A4" w14:textId="603166F5" w:rsidR="00EB609A" w:rsidRPr="00EB609A" w:rsidRDefault="00F755E2" w:rsidP="003C6BE6">
            <w:pPr>
              <w:spacing w:after="60" w:line="264" w:lineRule="auto"/>
              <w:rPr>
                <w:i/>
                <w:iCs/>
                <w:sz w:val="20"/>
                <w:szCs w:val="20"/>
              </w:rPr>
            </w:pPr>
            <w:r w:rsidRPr="00EB609A">
              <w:rPr>
                <w:b/>
                <w:bCs/>
                <w:i/>
                <w:iCs/>
                <w:sz w:val="20"/>
                <w:szCs w:val="20"/>
              </w:rPr>
              <w:t>Total Conservative Estimate</w:t>
            </w:r>
          </w:p>
        </w:tc>
        <w:tc>
          <w:tcPr>
            <w:tcW w:w="1816" w:type="dxa"/>
            <w:vAlign w:val="center"/>
            <w:hideMark/>
          </w:tcPr>
          <w:p w14:paraId="409B2EDF" w14:textId="741AC9A4" w:rsidR="00EB609A" w:rsidRPr="00EB609A" w:rsidRDefault="00EB609A" w:rsidP="003C6BE6">
            <w:pPr>
              <w:spacing w:after="0" w:line="264" w:lineRule="auto"/>
              <w:rPr>
                <w:i/>
                <w:iCs/>
                <w:sz w:val="20"/>
                <w:szCs w:val="20"/>
              </w:rPr>
            </w:pPr>
            <w:r w:rsidRPr="00EB609A">
              <w:rPr>
                <w:b/>
                <w:bCs/>
                <w:i/>
                <w:iCs/>
                <w:sz w:val="20"/>
                <w:szCs w:val="20"/>
              </w:rPr>
              <w:t xml:space="preserve">≈ $ </w:t>
            </w:r>
            <w:r w:rsidR="002565C9">
              <w:rPr>
                <w:b/>
                <w:bCs/>
                <w:i/>
                <w:iCs/>
                <w:sz w:val="20"/>
                <w:szCs w:val="20"/>
              </w:rPr>
              <w:t>1.7</w:t>
            </w:r>
            <w:r w:rsidRPr="00EB609A">
              <w:rPr>
                <w:b/>
                <w:bCs/>
                <w:i/>
                <w:iCs/>
                <w:sz w:val="20"/>
                <w:szCs w:val="20"/>
              </w:rPr>
              <w:t xml:space="preserve"> M per year</w:t>
            </w:r>
          </w:p>
        </w:tc>
        <w:tc>
          <w:tcPr>
            <w:tcW w:w="2839" w:type="dxa"/>
            <w:vAlign w:val="center"/>
            <w:hideMark/>
          </w:tcPr>
          <w:p w14:paraId="1C62093D" w14:textId="09929F89" w:rsidR="00EB609A" w:rsidRPr="00EB609A" w:rsidRDefault="00EB609A" w:rsidP="003C6BE6">
            <w:pPr>
              <w:spacing w:after="0" w:line="264" w:lineRule="auto"/>
              <w:rPr>
                <w:i/>
                <w:iCs/>
                <w:sz w:val="20"/>
                <w:szCs w:val="20"/>
              </w:rPr>
            </w:pPr>
            <w:r w:rsidRPr="00EB609A">
              <w:rPr>
                <w:i/>
                <w:iCs/>
                <w:sz w:val="20"/>
                <w:szCs w:val="20"/>
              </w:rPr>
              <w:t>Recurring post-stabilization</w:t>
            </w:r>
          </w:p>
        </w:tc>
      </w:tr>
    </w:tbl>
    <w:p w14:paraId="62FB98DD" w14:textId="165ABE5F" w:rsidR="00EB609A" w:rsidRPr="002565C9" w:rsidRDefault="002565C9" w:rsidP="003C6BE6">
      <w:pPr>
        <w:spacing w:before="120" w:after="360" w:line="264" w:lineRule="auto"/>
        <w:jc w:val="right"/>
        <w:rPr>
          <w:i/>
          <w:iCs/>
          <w:sz w:val="18"/>
          <w:szCs w:val="18"/>
        </w:rPr>
      </w:pPr>
      <w:r w:rsidRPr="002565C9">
        <w:rPr>
          <w:sz w:val="18"/>
          <w:szCs w:val="18"/>
        </w:rPr>
        <w:tab/>
      </w:r>
      <w:r w:rsidRPr="002565C9">
        <w:rPr>
          <w:i/>
          <w:iCs/>
          <w:color w:val="7F7F7F" w:themeColor="text1" w:themeTint="80"/>
          <w:sz w:val="18"/>
          <w:szCs w:val="18"/>
        </w:rPr>
        <w:t xml:space="preserve">* </w:t>
      </w:r>
      <w:r w:rsidR="001F6A50">
        <w:rPr>
          <w:i/>
          <w:iCs/>
          <w:color w:val="7F7F7F" w:themeColor="text1" w:themeTint="80"/>
          <w:sz w:val="18"/>
          <w:szCs w:val="18"/>
        </w:rPr>
        <w:t>N</w:t>
      </w:r>
      <w:r w:rsidRPr="002565C9">
        <w:rPr>
          <w:i/>
          <w:iCs/>
          <w:color w:val="7F7F7F" w:themeColor="text1" w:themeTint="80"/>
          <w:sz w:val="18"/>
          <w:szCs w:val="18"/>
        </w:rPr>
        <w:t>ot included in current entitlement clai</w:t>
      </w:r>
      <w:r w:rsidR="001F6A50">
        <w:rPr>
          <w:i/>
          <w:iCs/>
          <w:color w:val="7F7F7F" w:themeColor="text1" w:themeTint="80"/>
          <w:sz w:val="18"/>
          <w:szCs w:val="18"/>
        </w:rPr>
        <w:t>m. T</w:t>
      </w:r>
      <w:r>
        <w:rPr>
          <w:i/>
          <w:iCs/>
          <w:color w:val="7F7F7F" w:themeColor="text1" w:themeTint="80"/>
          <w:sz w:val="18"/>
          <w:szCs w:val="18"/>
        </w:rPr>
        <w:t xml:space="preserve">his </w:t>
      </w:r>
      <w:r w:rsidR="001F6A50">
        <w:rPr>
          <w:i/>
          <w:iCs/>
          <w:color w:val="7F7F7F" w:themeColor="text1" w:themeTint="80"/>
          <w:sz w:val="18"/>
          <w:szCs w:val="18"/>
        </w:rPr>
        <w:t>represents value of road-mapped future phases of expansion</w:t>
      </w:r>
    </w:p>
    <w:p w14:paraId="69243764" w14:textId="77777777" w:rsidR="00EB609A" w:rsidRPr="00EB609A" w:rsidRDefault="00EB609A" w:rsidP="003C6BE6">
      <w:pPr>
        <w:pStyle w:val="Heading1"/>
        <w:spacing w:line="264" w:lineRule="auto"/>
      </w:pPr>
      <w:r w:rsidRPr="00EB609A">
        <w:t>Dependencies,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312"/>
      </w:tblGrid>
      <w:tr w:rsidR="00EB609A" w:rsidRPr="00EB609A" w14:paraId="13C58FE6" w14:textId="77777777" w:rsidTr="005372A4">
        <w:trPr>
          <w:tblHeader/>
          <w:tblCellSpacing w:w="15" w:type="dxa"/>
        </w:trPr>
        <w:tc>
          <w:tcPr>
            <w:tcW w:w="3015" w:type="dxa"/>
            <w:shd w:val="clear" w:color="auto" w:fill="4C94D8" w:themeFill="text2" w:themeFillTint="80"/>
            <w:vAlign w:val="center"/>
            <w:hideMark/>
          </w:tcPr>
          <w:p w14:paraId="2D6DE0C1" w14:textId="77777777" w:rsidR="00EB609A" w:rsidRPr="00EB609A" w:rsidRDefault="00EB609A" w:rsidP="003C6BE6">
            <w:pPr>
              <w:spacing w:after="60" w:line="264" w:lineRule="auto"/>
              <w:rPr>
                <w:b/>
                <w:bCs/>
                <w:color w:val="FFFFFF" w:themeColor="background1"/>
                <w:sz w:val="20"/>
                <w:szCs w:val="20"/>
              </w:rPr>
            </w:pPr>
            <w:r w:rsidRPr="00EB609A">
              <w:rPr>
                <w:b/>
                <w:bCs/>
                <w:color w:val="FFFFFF" w:themeColor="background1"/>
                <w:sz w:val="20"/>
                <w:szCs w:val="20"/>
              </w:rPr>
              <w:t>Risk / Dependency</w:t>
            </w:r>
          </w:p>
        </w:tc>
        <w:tc>
          <w:tcPr>
            <w:tcW w:w="7267" w:type="dxa"/>
            <w:shd w:val="clear" w:color="auto" w:fill="4C94D8" w:themeFill="text2" w:themeFillTint="80"/>
            <w:vAlign w:val="center"/>
            <w:hideMark/>
          </w:tcPr>
          <w:p w14:paraId="6B541564" w14:textId="77777777" w:rsidR="00EB609A" w:rsidRPr="00EB609A" w:rsidRDefault="00EB609A" w:rsidP="003C6BE6">
            <w:pPr>
              <w:spacing w:after="60" w:line="264" w:lineRule="auto"/>
              <w:rPr>
                <w:b/>
                <w:bCs/>
                <w:color w:val="FFFFFF" w:themeColor="background1"/>
                <w:sz w:val="20"/>
                <w:szCs w:val="20"/>
              </w:rPr>
            </w:pPr>
            <w:r w:rsidRPr="00EB609A">
              <w:rPr>
                <w:b/>
                <w:bCs/>
                <w:color w:val="FFFFFF" w:themeColor="background1"/>
                <w:sz w:val="20"/>
                <w:szCs w:val="20"/>
              </w:rPr>
              <w:t>Mitigation</w:t>
            </w:r>
          </w:p>
        </w:tc>
      </w:tr>
      <w:tr w:rsidR="00EB609A" w:rsidRPr="00EB609A" w14:paraId="6938F43E" w14:textId="77777777" w:rsidTr="005372A4">
        <w:trPr>
          <w:tblCellSpacing w:w="15" w:type="dxa"/>
        </w:trPr>
        <w:tc>
          <w:tcPr>
            <w:tcW w:w="3015" w:type="dxa"/>
            <w:tcBorders>
              <w:bottom w:val="dotted" w:sz="4" w:space="0" w:color="0070C0"/>
            </w:tcBorders>
            <w:vAlign w:val="center"/>
            <w:hideMark/>
          </w:tcPr>
          <w:p w14:paraId="1D2E13B1" w14:textId="77777777" w:rsidR="00EB609A" w:rsidRPr="00EB609A" w:rsidRDefault="00EB609A" w:rsidP="003C6BE6">
            <w:pPr>
              <w:spacing w:after="0" w:line="264" w:lineRule="auto"/>
              <w:rPr>
                <w:sz w:val="20"/>
                <w:szCs w:val="20"/>
              </w:rPr>
            </w:pPr>
            <w:r w:rsidRPr="00EB609A">
              <w:rPr>
                <w:sz w:val="20"/>
                <w:szCs w:val="20"/>
              </w:rPr>
              <w:t>Data consistency across systems</w:t>
            </w:r>
          </w:p>
        </w:tc>
        <w:tc>
          <w:tcPr>
            <w:tcW w:w="7267" w:type="dxa"/>
            <w:tcBorders>
              <w:bottom w:val="dotted" w:sz="4" w:space="0" w:color="0070C0"/>
            </w:tcBorders>
            <w:vAlign w:val="center"/>
            <w:hideMark/>
          </w:tcPr>
          <w:p w14:paraId="0BB63C6E" w14:textId="77777777" w:rsidR="00EB609A" w:rsidRPr="00EB609A" w:rsidRDefault="00EB609A" w:rsidP="003C6BE6">
            <w:pPr>
              <w:spacing w:after="0" w:line="264" w:lineRule="auto"/>
              <w:rPr>
                <w:sz w:val="20"/>
                <w:szCs w:val="20"/>
              </w:rPr>
            </w:pPr>
            <w:r w:rsidRPr="00EB609A">
              <w:rPr>
                <w:sz w:val="20"/>
                <w:szCs w:val="20"/>
              </w:rPr>
              <w:t>Centralized governance and shared change-management process</w:t>
            </w:r>
          </w:p>
        </w:tc>
      </w:tr>
      <w:tr w:rsidR="00EB609A" w:rsidRPr="00EB609A" w14:paraId="296B9153" w14:textId="77777777" w:rsidTr="005372A4">
        <w:trPr>
          <w:tblCellSpacing w:w="15" w:type="dxa"/>
        </w:trPr>
        <w:tc>
          <w:tcPr>
            <w:tcW w:w="3015" w:type="dxa"/>
            <w:tcBorders>
              <w:top w:val="dotted" w:sz="4" w:space="0" w:color="0070C0"/>
              <w:bottom w:val="dotted" w:sz="4" w:space="0" w:color="0070C0"/>
            </w:tcBorders>
            <w:vAlign w:val="center"/>
            <w:hideMark/>
          </w:tcPr>
          <w:p w14:paraId="48FED5C6" w14:textId="77777777" w:rsidR="00EB609A" w:rsidRPr="00EB609A" w:rsidRDefault="00EB609A" w:rsidP="003C6BE6">
            <w:pPr>
              <w:spacing w:after="0" w:line="264" w:lineRule="auto"/>
              <w:rPr>
                <w:sz w:val="20"/>
                <w:szCs w:val="20"/>
              </w:rPr>
            </w:pPr>
            <w:r w:rsidRPr="00EB609A">
              <w:rPr>
                <w:sz w:val="20"/>
                <w:szCs w:val="20"/>
              </w:rPr>
              <w:t>Vendor adoption of portal</w:t>
            </w:r>
          </w:p>
        </w:tc>
        <w:tc>
          <w:tcPr>
            <w:tcW w:w="7267" w:type="dxa"/>
            <w:tcBorders>
              <w:top w:val="dotted" w:sz="4" w:space="0" w:color="0070C0"/>
              <w:bottom w:val="dotted" w:sz="4" w:space="0" w:color="0070C0"/>
            </w:tcBorders>
            <w:vAlign w:val="center"/>
            <w:hideMark/>
          </w:tcPr>
          <w:p w14:paraId="735BF24E" w14:textId="77777777" w:rsidR="00EB609A" w:rsidRPr="00EB609A" w:rsidRDefault="00EB609A" w:rsidP="003C6BE6">
            <w:pPr>
              <w:spacing w:after="0" w:line="264" w:lineRule="auto"/>
              <w:rPr>
                <w:sz w:val="20"/>
                <w:szCs w:val="20"/>
              </w:rPr>
            </w:pPr>
            <w:r w:rsidRPr="00EB609A">
              <w:rPr>
                <w:sz w:val="20"/>
                <w:szCs w:val="20"/>
              </w:rPr>
              <w:t>Co-branded rollout with VC and Replen Tech; vendor education and support</w:t>
            </w:r>
          </w:p>
        </w:tc>
      </w:tr>
      <w:tr w:rsidR="00EB609A" w:rsidRPr="00EB609A" w14:paraId="7816875A" w14:textId="77777777" w:rsidTr="005372A4">
        <w:trPr>
          <w:tblCellSpacing w:w="15" w:type="dxa"/>
        </w:trPr>
        <w:tc>
          <w:tcPr>
            <w:tcW w:w="3015" w:type="dxa"/>
            <w:tcBorders>
              <w:top w:val="dotted" w:sz="4" w:space="0" w:color="0070C0"/>
              <w:bottom w:val="dotted" w:sz="4" w:space="0" w:color="0070C0"/>
            </w:tcBorders>
            <w:vAlign w:val="center"/>
            <w:hideMark/>
          </w:tcPr>
          <w:p w14:paraId="1EB2E1B7" w14:textId="77777777" w:rsidR="00EB609A" w:rsidRPr="00EB609A" w:rsidRDefault="00EB609A" w:rsidP="003C6BE6">
            <w:pPr>
              <w:spacing w:after="0" w:line="264" w:lineRule="auto"/>
              <w:rPr>
                <w:sz w:val="20"/>
                <w:szCs w:val="20"/>
              </w:rPr>
            </w:pPr>
            <w:r w:rsidRPr="00EB609A">
              <w:rPr>
                <w:sz w:val="20"/>
                <w:szCs w:val="20"/>
              </w:rPr>
              <w:t>Inter-team alignment</w:t>
            </w:r>
          </w:p>
        </w:tc>
        <w:tc>
          <w:tcPr>
            <w:tcW w:w="7267" w:type="dxa"/>
            <w:tcBorders>
              <w:top w:val="dotted" w:sz="4" w:space="0" w:color="0070C0"/>
              <w:bottom w:val="dotted" w:sz="4" w:space="0" w:color="0070C0"/>
            </w:tcBorders>
            <w:vAlign w:val="center"/>
            <w:hideMark/>
          </w:tcPr>
          <w:p w14:paraId="4F89E4AC" w14:textId="3B02B93B" w:rsidR="00EB609A" w:rsidRPr="00EB609A" w:rsidRDefault="00EB609A" w:rsidP="003C6BE6">
            <w:pPr>
              <w:spacing w:after="0" w:line="264" w:lineRule="auto"/>
              <w:rPr>
                <w:sz w:val="20"/>
                <w:szCs w:val="20"/>
              </w:rPr>
            </w:pPr>
            <w:r w:rsidRPr="00EB609A">
              <w:rPr>
                <w:sz w:val="20"/>
                <w:szCs w:val="20"/>
              </w:rPr>
              <w:t>Defined data c</w:t>
            </w:r>
            <w:r w:rsidR="00D46C6F">
              <w:rPr>
                <w:sz w:val="20"/>
                <w:szCs w:val="20"/>
              </w:rPr>
              <w:t>harters</w:t>
            </w:r>
            <w:r w:rsidRPr="00EB609A">
              <w:rPr>
                <w:sz w:val="20"/>
                <w:szCs w:val="20"/>
              </w:rPr>
              <w:t xml:space="preserve"> and joint implementation roadmap</w:t>
            </w:r>
          </w:p>
        </w:tc>
      </w:tr>
      <w:tr w:rsidR="00EB609A" w:rsidRPr="00EB609A" w14:paraId="439EECB9" w14:textId="77777777" w:rsidTr="005372A4">
        <w:trPr>
          <w:tblCellSpacing w:w="15" w:type="dxa"/>
        </w:trPr>
        <w:tc>
          <w:tcPr>
            <w:tcW w:w="3015" w:type="dxa"/>
            <w:tcBorders>
              <w:top w:val="dotted" w:sz="4" w:space="0" w:color="0070C0"/>
            </w:tcBorders>
            <w:vAlign w:val="center"/>
            <w:hideMark/>
          </w:tcPr>
          <w:p w14:paraId="135384FA" w14:textId="77777777" w:rsidR="00EB609A" w:rsidRPr="00EB609A" w:rsidRDefault="00EB609A" w:rsidP="003C6BE6">
            <w:pPr>
              <w:spacing w:after="0" w:line="264" w:lineRule="auto"/>
              <w:rPr>
                <w:sz w:val="20"/>
                <w:szCs w:val="20"/>
              </w:rPr>
            </w:pPr>
            <w:r w:rsidRPr="00EB609A">
              <w:rPr>
                <w:sz w:val="20"/>
                <w:szCs w:val="20"/>
              </w:rPr>
              <w:t>Platform sustainment</w:t>
            </w:r>
          </w:p>
        </w:tc>
        <w:tc>
          <w:tcPr>
            <w:tcW w:w="7267" w:type="dxa"/>
            <w:tcBorders>
              <w:top w:val="dotted" w:sz="4" w:space="0" w:color="0070C0"/>
            </w:tcBorders>
            <w:vAlign w:val="center"/>
            <w:hideMark/>
          </w:tcPr>
          <w:p w14:paraId="06213946" w14:textId="6190156B" w:rsidR="00EB609A" w:rsidRPr="00EB609A" w:rsidRDefault="00EB609A" w:rsidP="003C6BE6">
            <w:pPr>
              <w:spacing w:after="0" w:line="264" w:lineRule="auto"/>
              <w:rPr>
                <w:sz w:val="20"/>
                <w:szCs w:val="20"/>
              </w:rPr>
            </w:pPr>
            <w:r w:rsidRPr="00EB609A">
              <w:rPr>
                <w:sz w:val="20"/>
                <w:szCs w:val="20"/>
              </w:rPr>
              <w:t>Ownership by Supply-Chain B.I. with ongoing support from Replen Tech and EDS</w:t>
            </w:r>
          </w:p>
        </w:tc>
      </w:tr>
    </w:tbl>
    <w:p w14:paraId="2C7385E3" w14:textId="223345F8" w:rsidR="00D0092F" w:rsidRDefault="00D46C6F" w:rsidP="003C6BE6">
      <w:pPr>
        <w:pStyle w:val="Heading1"/>
        <w:spacing w:line="264" w:lineRule="auto"/>
      </w:pPr>
      <w:r>
        <w:t>Entitlement</w:t>
      </w:r>
      <w:r w:rsidR="00D0092F">
        <w:t xml:space="preserve"> Benefit</w:t>
      </w:r>
    </w:p>
    <w:p w14:paraId="7D39558B" w14:textId="60364D18" w:rsidR="003C2F5B" w:rsidRPr="0025222F" w:rsidRDefault="003C2F5B" w:rsidP="0025222F">
      <w:pPr>
        <w:spacing w:line="240" w:lineRule="auto"/>
        <w:rPr>
          <w:sz w:val="20"/>
          <w:szCs w:val="20"/>
        </w:rPr>
      </w:pPr>
      <w:r w:rsidRPr="0025222F">
        <w:rPr>
          <w:sz w:val="20"/>
          <w:szCs w:val="20"/>
        </w:rPr>
        <w:t xml:space="preserve">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w:t>
      </w:r>
      <w:r w:rsidRPr="0025222F">
        <w:rPr>
          <w:bCs/>
          <w:sz w:val="20"/>
          <w:szCs w:val="20"/>
        </w:rPr>
        <w:t>$1.7 million in recurring annual benefit</w:t>
      </w:r>
      <w:r w:rsidRPr="0025222F">
        <w:rPr>
          <w:sz w:val="20"/>
          <w:szCs w:val="20"/>
        </w:rPr>
        <w:t xml:space="preserve"> specific to CPFR—building on and amplifying the value generated by VC and Chargeback integration. This combined momentum directly supports Chewy’s digital modernization strategy and represents a pragmatic, low-risk investment in sustained growth and data confidence.</w:t>
      </w:r>
    </w:p>
    <w:p w14:paraId="7133E71F" w14:textId="77A2BCC0" w:rsidR="00F755E2" w:rsidRDefault="00D46C6F" w:rsidP="003C2F5B">
      <w:pPr>
        <w:pStyle w:val="Heading1"/>
        <w:spacing w:after="160" w:line="240" w:lineRule="auto"/>
      </w:pPr>
      <w:r>
        <w:t xml:space="preserve">[WIP] </w:t>
      </w:r>
      <w:r w:rsidR="00F755E2" w:rsidRPr="00F755E2">
        <w:t>Appendix:</w:t>
      </w:r>
    </w:p>
    <w:p w14:paraId="74C4162B" w14:textId="4EFDAB4A" w:rsidR="00EB609A" w:rsidRPr="00B951AE" w:rsidRDefault="00B951AE" w:rsidP="003C6BE6">
      <w:pPr>
        <w:numPr>
          <w:ilvl w:val="0"/>
          <w:numId w:val="1"/>
        </w:numPr>
        <w:spacing w:after="0" w:line="264" w:lineRule="auto"/>
        <w:rPr>
          <w:sz w:val="20"/>
          <w:szCs w:val="20"/>
        </w:rPr>
      </w:pPr>
      <w:r w:rsidRPr="00B951AE">
        <w:rPr>
          <w:b/>
          <w:bCs/>
          <w:sz w:val="20"/>
          <w:szCs w:val="20"/>
        </w:rPr>
        <w:t>Valuation Basis:</w:t>
      </w:r>
      <w:r>
        <w:rPr>
          <w:sz w:val="20"/>
          <w:szCs w:val="20"/>
        </w:rPr>
        <w:t xml:space="preserve"> Summary of entitlement basis and projected Chewy benefit</w:t>
      </w:r>
    </w:p>
    <w:p w14:paraId="7CDF44C5" w14:textId="44A170C5" w:rsidR="00D46C6F" w:rsidRDefault="00D46C6F" w:rsidP="003C6BE6">
      <w:pPr>
        <w:numPr>
          <w:ilvl w:val="0"/>
          <w:numId w:val="1"/>
        </w:numPr>
        <w:spacing w:after="0" w:line="264" w:lineRule="auto"/>
        <w:rPr>
          <w:sz w:val="20"/>
          <w:szCs w:val="20"/>
        </w:rPr>
      </w:pPr>
      <w:r>
        <w:rPr>
          <w:b/>
          <w:bCs/>
          <w:sz w:val="20"/>
          <w:szCs w:val="20"/>
        </w:rPr>
        <w:t>Case Studies:</w:t>
      </w:r>
      <w:r>
        <w:rPr>
          <w:sz w:val="20"/>
          <w:szCs w:val="20"/>
        </w:rPr>
        <w:t xml:space="preserve"> Examples of quantitative or qualitative opportunities, with fiscal and/or operational </w:t>
      </w:r>
      <w:r w:rsidR="00B4621D">
        <w:rPr>
          <w:sz w:val="20"/>
          <w:szCs w:val="20"/>
        </w:rPr>
        <w:t xml:space="preserve">basis and </w:t>
      </w:r>
      <w:r>
        <w:rPr>
          <w:sz w:val="20"/>
          <w:szCs w:val="20"/>
        </w:rPr>
        <w:t>detail.</w:t>
      </w:r>
    </w:p>
    <w:p w14:paraId="50921D6D" w14:textId="2D0CDEFF" w:rsidR="00B951AE" w:rsidRPr="00EB609A" w:rsidRDefault="00B951AE" w:rsidP="003C6BE6">
      <w:pPr>
        <w:numPr>
          <w:ilvl w:val="0"/>
          <w:numId w:val="1"/>
        </w:numPr>
        <w:spacing w:after="0" w:line="264" w:lineRule="auto"/>
        <w:rPr>
          <w:sz w:val="20"/>
          <w:szCs w:val="20"/>
        </w:rPr>
      </w:pPr>
      <w:r w:rsidRPr="00EB609A">
        <w:rPr>
          <w:b/>
          <w:bCs/>
          <w:sz w:val="20"/>
          <w:szCs w:val="20"/>
        </w:rPr>
        <w:t>Architecture Summary:</w:t>
      </w:r>
      <w:r w:rsidRPr="00EB609A">
        <w:rPr>
          <w:sz w:val="20"/>
          <w:szCs w:val="20"/>
        </w:rPr>
        <w:t xml:space="preserve"> Snowflake data platform → governed views → CPH portal.</w:t>
      </w:r>
    </w:p>
    <w:p w14:paraId="219362B7" w14:textId="172B8D9C" w:rsidR="00EB609A" w:rsidRPr="00EB609A" w:rsidRDefault="00EB609A" w:rsidP="003C6BE6">
      <w:pPr>
        <w:numPr>
          <w:ilvl w:val="0"/>
          <w:numId w:val="1"/>
        </w:numPr>
        <w:spacing w:after="0" w:line="264" w:lineRule="auto"/>
        <w:rPr>
          <w:sz w:val="20"/>
          <w:szCs w:val="20"/>
        </w:rPr>
      </w:pPr>
      <w:r w:rsidRPr="00EB609A">
        <w:rPr>
          <w:b/>
          <w:bCs/>
          <w:sz w:val="20"/>
          <w:szCs w:val="20"/>
        </w:rPr>
        <w:t>Implementation P</w:t>
      </w:r>
      <w:r w:rsidR="00E83F50">
        <w:rPr>
          <w:b/>
          <w:bCs/>
          <w:sz w:val="20"/>
          <w:szCs w:val="20"/>
        </w:rPr>
        <w:t>lan</w:t>
      </w:r>
      <w:r w:rsidRPr="00EB609A">
        <w:rPr>
          <w:b/>
          <w:bCs/>
          <w:sz w:val="20"/>
          <w:szCs w:val="20"/>
        </w:rPr>
        <w:t>:</w:t>
      </w:r>
      <w:r w:rsidRPr="00EB609A">
        <w:rPr>
          <w:sz w:val="20"/>
          <w:szCs w:val="20"/>
        </w:rPr>
        <w:t xml:space="preserve"> Phase 1 – Platform build &amp; internal tools; Phase 2 – Portal integration &amp; vendor onboarding.</w:t>
      </w:r>
    </w:p>
    <w:p w14:paraId="064ACDF9" w14:textId="3881A8BB" w:rsidR="00413C4B" w:rsidRDefault="00EB609A" w:rsidP="003C6BE6">
      <w:pPr>
        <w:numPr>
          <w:ilvl w:val="0"/>
          <w:numId w:val="1"/>
        </w:numPr>
        <w:spacing w:after="0" w:line="264" w:lineRule="auto"/>
        <w:rPr>
          <w:sz w:val="20"/>
          <w:szCs w:val="20"/>
        </w:rPr>
      </w:pPr>
      <w:r w:rsidRPr="00EB609A">
        <w:rPr>
          <w:b/>
          <w:bCs/>
          <w:sz w:val="20"/>
          <w:szCs w:val="20"/>
        </w:rPr>
        <w:t>Next Steps:</w:t>
      </w:r>
      <w:r w:rsidRPr="00EB609A">
        <w:rPr>
          <w:sz w:val="20"/>
          <w:szCs w:val="20"/>
        </w:rPr>
        <w:t xml:space="preserve"> Coordinate with B.I. and </w:t>
      </w:r>
      <w:r w:rsidR="00D46C6F">
        <w:rPr>
          <w:sz w:val="20"/>
          <w:szCs w:val="20"/>
        </w:rPr>
        <w:t>Replen Tech to confirm ownership and implementation roles</w:t>
      </w:r>
      <w:r w:rsidRPr="00EB609A">
        <w:rPr>
          <w:sz w:val="20"/>
          <w:szCs w:val="20"/>
        </w:rPr>
        <w:t>.</w:t>
      </w:r>
      <w:r w:rsidR="00D46C6F">
        <w:rPr>
          <w:sz w:val="20"/>
          <w:szCs w:val="20"/>
        </w:rPr>
        <w:t xml:space="preserve"> Confirm approval.</w:t>
      </w:r>
    </w:p>
    <w:p w14:paraId="6132CD79" w14:textId="4895EA13" w:rsidR="00413C4B" w:rsidRDefault="00413C4B" w:rsidP="003C6BE6">
      <w:pPr>
        <w:pStyle w:val="Heading1"/>
        <w:spacing w:line="264" w:lineRule="auto"/>
      </w:pPr>
      <w:r>
        <w:br w:type="page"/>
      </w:r>
      <w:r>
        <w:lastRenderedPageBreak/>
        <w:t>Appendix 1: Valuation Basis</w:t>
      </w:r>
    </w:p>
    <w:p w14:paraId="4B5770A3" w14:textId="77777777" w:rsidR="00413C4B" w:rsidRPr="00413C4B" w:rsidRDefault="00413C4B" w:rsidP="00413C4B"/>
    <w:tbl>
      <w:tblPr>
        <w:tblW w:w="12680" w:type="dxa"/>
        <w:tblLook w:val="04A0" w:firstRow="1" w:lastRow="0" w:firstColumn="1" w:lastColumn="0" w:noHBand="0" w:noVBand="1"/>
      </w:tblPr>
      <w:tblGrid>
        <w:gridCol w:w="3420"/>
        <w:gridCol w:w="270"/>
        <w:gridCol w:w="900"/>
        <w:gridCol w:w="270"/>
        <w:gridCol w:w="5760"/>
        <w:gridCol w:w="2060"/>
      </w:tblGrid>
      <w:tr w:rsidR="00413C4B" w:rsidRPr="00413C4B" w14:paraId="2881B9EF" w14:textId="77777777" w:rsidTr="00413C4B">
        <w:trPr>
          <w:trHeight w:val="288"/>
        </w:trPr>
        <w:tc>
          <w:tcPr>
            <w:tcW w:w="12680" w:type="dxa"/>
            <w:gridSpan w:val="6"/>
            <w:tcBorders>
              <w:top w:val="nil"/>
              <w:left w:val="nil"/>
              <w:bottom w:val="nil"/>
              <w:right w:val="nil"/>
            </w:tcBorders>
            <w:noWrap/>
            <w:vAlign w:val="bottom"/>
            <w:hideMark/>
          </w:tcPr>
          <w:p w14:paraId="59763FFD" w14:textId="7BE5477F"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[1] Operational Efficiency Calculations</w:t>
            </w:r>
          </w:p>
        </w:tc>
      </w:tr>
      <w:tr w:rsidR="00413C4B" w:rsidRPr="00413C4B" w14:paraId="0823F41F"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5EB50778"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61EC6F6B"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7B3A21"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071F12A"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5760" w:type="dxa"/>
            <w:tcBorders>
              <w:top w:val="single" w:sz="4" w:space="0" w:color="auto"/>
              <w:left w:val="nil"/>
              <w:bottom w:val="single" w:sz="8" w:space="0" w:color="auto"/>
              <w:right w:val="nil"/>
            </w:tcBorders>
            <w:vAlign w:val="bottom"/>
            <w:hideMark/>
          </w:tcPr>
          <w:p w14:paraId="2E3D7E53"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Notes</w:t>
            </w:r>
          </w:p>
        </w:tc>
      </w:tr>
      <w:tr w:rsidR="00413C4B" w:rsidRPr="00413C4B" w14:paraId="4F8F7D21" w14:textId="77777777" w:rsidTr="00413C4B">
        <w:trPr>
          <w:gridAfter w:val="1"/>
          <w:wAfter w:w="2060" w:type="dxa"/>
          <w:trHeight w:val="288"/>
        </w:trPr>
        <w:tc>
          <w:tcPr>
            <w:tcW w:w="3420" w:type="dxa"/>
            <w:tcBorders>
              <w:top w:val="nil"/>
              <w:left w:val="nil"/>
              <w:bottom w:val="nil"/>
              <w:right w:val="nil"/>
            </w:tcBorders>
            <w:noWrap/>
            <w:vAlign w:val="bottom"/>
            <w:hideMark/>
          </w:tcPr>
          <w:p w14:paraId="6659108E"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ISM Cohort</w:t>
            </w:r>
          </w:p>
        </w:tc>
        <w:tc>
          <w:tcPr>
            <w:tcW w:w="270" w:type="dxa"/>
            <w:tcBorders>
              <w:top w:val="nil"/>
              <w:left w:val="nil"/>
              <w:bottom w:val="nil"/>
              <w:right w:val="nil"/>
            </w:tcBorders>
            <w:noWrap/>
            <w:vAlign w:val="bottom"/>
            <w:hideMark/>
          </w:tcPr>
          <w:p w14:paraId="01DCFE21"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160DEE64"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36</w:t>
            </w:r>
          </w:p>
        </w:tc>
        <w:tc>
          <w:tcPr>
            <w:tcW w:w="270" w:type="dxa"/>
            <w:tcBorders>
              <w:top w:val="nil"/>
              <w:left w:val="nil"/>
              <w:bottom w:val="nil"/>
              <w:right w:val="nil"/>
            </w:tcBorders>
            <w:noWrap/>
            <w:vAlign w:val="bottom"/>
            <w:hideMark/>
          </w:tcPr>
          <w:p w14:paraId="2F7F20DD"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3B1C810C"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xml:space="preserve">Includes Consumables, Health/Science, EFE, Hard Goods, </w:t>
            </w:r>
          </w:p>
        </w:tc>
      </w:tr>
      <w:tr w:rsidR="00413C4B" w:rsidRPr="00413C4B" w14:paraId="67643B75" w14:textId="77777777" w:rsidTr="00413C4B">
        <w:trPr>
          <w:gridAfter w:val="1"/>
          <w:wAfter w:w="2060" w:type="dxa"/>
          <w:trHeight w:val="288"/>
        </w:trPr>
        <w:tc>
          <w:tcPr>
            <w:tcW w:w="3420" w:type="dxa"/>
            <w:tcBorders>
              <w:top w:val="nil"/>
              <w:left w:val="nil"/>
              <w:bottom w:val="nil"/>
              <w:right w:val="nil"/>
            </w:tcBorders>
            <w:noWrap/>
            <w:vAlign w:val="bottom"/>
            <w:hideMark/>
          </w:tcPr>
          <w:p w14:paraId="4EC037AD" w14:textId="3AD44198"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H</w:t>
            </w:r>
            <w:r>
              <w:rPr>
                <w:rFonts w:ascii="Aptos Narrow" w:eastAsia="Times New Roman" w:hAnsi="Aptos Narrow" w:cs="Times New Roman"/>
                <w:color w:val="000000"/>
                <w:kern w:val="0"/>
                <w:sz w:val="20"/>
                <w:szCs w:val="20"/>
                <w14:ligatures w14:val="none"/>
              </w:rPr>
              <w:t>ou</w:t>
            </w:r>
            <w:r w:rsidRPr="00413C4B">
              <w:rPr>
                <w:rFonts w:ascii="Aptos Narrow" w:eastAsia="Times New Roman" w:hAnsi="Aptos Narrow" w:cs="Times New Roman"/>
                <w:color w:val="000000"/>
                <w:kern w:val="0"/>
                <w:sz w:val="20"/>
                <w:szCs w:val="20"/>
                <w14:ligatures w14:val="none"/>
              </w:rPr>
              <w:t>rs per person/week</w:t>
            </w:r>
          </w:p>
        </w:tc>
        <w:tc>
          <w:tcPr>
            <w:tcW w:w="270" w:type="dxa"/>
            <w:tcBorders>
              <w:top w:val="nil"/>
              <w:left w:val="nil"/>
              <w:bottom w:val="nil"/>
              <w:right w:val="nil"/>
            </w:tcBorders>
            <w:noWrap/>
            <w:vAlign w:val="bottom"/>
            <w:hideMark/>
          </w:tcPr>
          <w:p w14:paraId="3F24B5C6"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7E5E432B"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2</w:t>
            </w:r>
          </w:p>
        </w:tc>
        <w:tc>
          <w:tcPr>
            <w:tcW w:w="270" w:type="dxa"/>
            <w:tcBorders>
              <w:top w:val="nil"/>
              <w:left w:val="nil"/>
              <w:bottom w:val="nil"/>
              <w:right w:val="nil"/>
            </w:tcBorders>
            <w:noWrap/>
            <w:vAlign w:val="bottom"/>
            <w:hideMark/>
          </w:tcPr>
          <w:p w14:paraId="0143CB73"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20E0B3F3"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Survey sample of cohort and adjust</w:t>
            </w:r>
          </w:p>
        </w:tc>
      </w:tr>
      <w:tr w:rsidR="00413C4B" w:rsidRPr="00413C4B" w14:paraId="20F32776" w14:textId="77777777" w:rsidTr="00413C4B">
        <w:trPr>
          <w:gridAfter w:val="1"/>
          <w:wAfter w:w="2060" w:type="dxa"/>
          <w:trHeight w:val="288"/>
        </w:trPr>
        <w:tc>
          <w:tcPr>
            <w:tcW w:w="3420" w:type="dxa"/>
            <w:tcBorders>
              <w:top w:val="nil"/>
              <w:left w:val="nil"/>
              <w:bottom w:val="nil"/>
              <w:right w:val="nil"/>
            </w:tcBorders>
            <w:noWrap/>
            <w:vAlign w:val="bottom"/>
            <w:hideMark/>
          </w:tcPr>
          <w:p w14:paraId="0B49D61B"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Rate</w:t>
            </w:r>
          </w:p>
        </w:tc>
        <w:tc>
          <w:tcPr>
            <w:tcW w:w="270" w:type="dxa"/>
            <w:tcBorders>
              <w:top w:val="nil"/>
              <w:left w:val="nil"/>
              <w:bottom w:val="nil"/>
              <w:right w:val="nil"/>
            </w:tcBorders>
            <w:noWrap/>
            <w:vAlign w:val="bottom"/>
            <w:hideMark/>
          </w:tcPr>
          <w:p w14:paraId="2AA77678"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757896F5"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64.90</w:t>
            </w:r>
          </w:p>
        </w:tc>
        <w:tc>
          <w:tcPr>
            <w:tcW w:w="270" w:type="dxa"/>
            <w:tcBorders>
              <w:top w:val="nil"/>
              <w:left w:val="nil"/>
              <w:bottom w:val="nil"/>
              <w:right w:val="nil"/>
            </w:tcBorders>
            <w:noWrap/>
            <w:vAlign w:val="bottom"/>
            <w:hideMark/>
          </w:tcPr>
          <w:p w14:paraId="2E442C24"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085E33BA"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C5 average (likely higher IRL)</w:t>
            </w:r>
          </w:p>
        </w:tc>
      </w:tr>
      <w:tr w:rsidR="00413C4B" w:rsidRPr="00413C4B" w14:paraId="7EBF18F4" w14:textId="77777777" w:rsidTr="00413C4B">
        <w:trPr>
          <w:gridAfter w:val="1"/>
          <w:wAfter w:w="2060" w:type="dxa"/>
          <w:trHeight w:val="288"/>
        </w:trPr>
        <w:tc>
          <w:tcPr>
            <w:tcW w:w="3420" w:type="dxa"/>
            <w:tcBorders>
              <w:top w:val="nil"/>
              <w:left w:val="nil"/>
              <w:bottom w:val="nil"/>
              <w:right w:val="nil"/>
            </w:tcBorders>
            <w:noWrap/>
            <w:vAlign w:val="bottom"/>
            <w:hideMark/>
          </w:tcPr>
          <w:p w14:paraId="2B3D98E2"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Weeks</w:t>
            </w:r>
          </w:p>
        </w:tc>
        <w:tc>
          <w:tcPr>
            <w:tcW w:w="270" w:type="dxa"/>
            <w:tcBorders>
              <w:top w:val="nil"/>
              <w:left w:val="nil"/>
              <w:bottom w:val="nil"/>
              <w:right w:val="nil"/>
            </w:tcBorders>
            <w:noWrap/>
            <w:vAlign w:val="bottom"/>
            <w:hideMark/>
          </w:tcPr>
          <w:p w14:paraId="751EE6B9"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3D863221"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52</w:t>
            </w:r>
          </w:p>
        </w:tc>
        <w:tc>
          <w:tcPr>
            <w:tcW w:w="270" w:type="dxa"/>
            <w:tcBorders>
              <w:top w:val="nil"/>
              <w:left w:val="nil"/>
              <w:bottom w:val="nil"/>
              <w:right w:val="nil"/>
            </w:tcBorders>
            <w:noWrap/>
            <w:vAlign w:val="bottom"/>
            <w:hideMark/>
          </w:tcPr>
          <w:p w14:paraId="603DFD9E"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45378A3D" w14:textId="221C01F3"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Burden rate does not stop during PTO/Holidays</w:t>
            </w:r>
          </w:p>
        </w:tc>
      </w:tr>
      <w:tr w:rsidR="00413C4B" w:rsidRPr="00413C4B" w14:paraId="44DE99BA" w14:textId="77777777" w:rsidTr="00413C4B">
        <w:trPr>
          <w:gridAfter w:val="1"/>
          <w:wAfter w:w="2060" w:type="dxa"/>
          <w:trHeight w:val="576"/>
        </w:trPr>
        <w:tc>
          <w:tcPr>
            <w:tcW w:w="3420" w:type="dxa"/>
            <w:tcBorders>
              <w:top w:val="nil"/>
              <w:left w:val="nil"/>
              <w:bottom w:val="double" w:sz="4" w:space="0" w:color="auto"/>
              <w:right w:val="nil"/>
            </w:tcBorders>
            <w:noWrap/>
            <w:hideMark/>
          </w:tcPr>
          <w:p w14:paraId="042D3DD5"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FBLR</w:t>
            </w:r>
          </w:p>
        </w:tc>
        <w:tc>
          <w:tcPr>
            <w:tcW w:w="270" w:type="dxa"/>
            <w:tcBorders>
              <w:top w:val="nil"/>
              <w:left w:val="nil"/>
              <w:bottom w:val="double" w:sz="4" w:space="0" w:color="auto"/>
              <w:right w:val="nil"/>
            </w:tcBorders>
            <w:noWrap/>
            <w:hideMark/>
          </w:tcPr>
          <w:p w14:paraId="56A9CB27"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double" w:sz="4" w:space="0" w:color="auto"/>
              <w:right w:val="nil"/>
            </w:tcBorders>
            <w:noWrap/>
            <w:hideMark/>
          </w:tcPr>
          <w:p w14:paraId="4AE3688A"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2.5</w:t>
            </w:r>
          </w:p>
        </w:tc>
        <w:tc>
          <w:tcPr>
            <w:tcW w:w="270" w:type="dxa"/>
            <w:tcBorders>
              <w:top w:val="nil"/>
              <w:left w:val="nil"/>
              <w:bottom w:val="nil"/>
              <w:right w:val="nil"/>
            </w:tcBorders>
            <w:noWrap/>
            <w:hideMark/>
          </w:tcPr>
          <w:p w14:paraId="112E5A04"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hideMark/>
          </w:tcPr>
          <w:p w14:paraId="3A4003CD"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Inflation factor for fringe, overhead, G&amp;A--based on GAO guidelines and ACEC/AEC project estimators for white-collar roles</w:t>
            </w:r>
          </w:p>
        </w:tc>
      </w:tr>
      <w:tr w:rsidR="00413C4B" w:rsidRPr="00413C4B" w14:paraId="533AF759"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31B740F7" w14:textId="76FE026F"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Op</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Ex</w:t>
            </w:r>
          </w:p>
        </w:tc>
        <w:tc>
          <w:tcPr>
            <w:tcW w:w="270" w:type="dxa"/>
            <w:tcBorders>
              <w:top w:val="double" w:sz="4" w:space="0" w:color="auto"/>
              <w:left w:val="nil"/>
              <w:bottom w:val="nil"/>
              <w:right w:val="nil"/>
            </w:tcBorders>
            <w:noWrap/>
            <w:vAlign w:val="bottom"/>
            <w:hideMark/>
          </w:tcPr>
          <w:p w14:paraId="5E4409C9"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p>
        </w:tc>
        <w:tc>
          <w:tcPr>
            <w:tcW w:w="900" w:type="dxa"/>
            <w:tcBorders>
              <w:top w:val="double" w:sz="4" w:space="0" w:color="auto"/>
              <w:left w:val="nil"/>
              <w:bottom w:val="nil"/>
              <w:right w:val="nil"/>
            </w:tcBorders>
            <w:noWrap/>
            <w:vAlign w:val="bottom"/>
            <w:hideMark/>
          </w:tcPr>
          <w:p w14:paraId="73385DDA"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607500</w:t>
            </w:r>
          </w:p>
        </w:tc>
        <w:tc>
          <w:tcPr>
            <w:tcW w:w="270" w:type="dxa"/>
            <w:tcBorders>
              <w:top w:val="nil"/>
              <w:left w:val="nil"/>
              <w:bottom w:val="nil"/>
              <w:right w:val="nil"/>
            </w:tcBorders>
            <w:noWrap/>
            <w:vAlign w:val="bottom"/>
            <w:hideMark/>
          </w:tcPr>
          <w:p w14:paraId="54755B5F"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353F29FF"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r w:rsidR="00413C4B" w:rsidRPr="00413C4B" w14:paraId="7CE35D51" w14:textId="77777777" w:rsidTr="00413C4B">
        <w:trPr>
          <w:gridAfter w:val="1"/>
          <w:wAfter w:w="2060" w:type="dxa"/>
          <w:trHeight w:val="288"/>
        </w:trPr>
        <w:tc>
          <w:tcPr>
            <w:tcW w:w="3420" w:type="dxa"/>
            <w:tcBorders>
              <w:top w:val="nil"/>
              <w:left w:val="nil"/>
              <w:bottom w:val="nil"/>
              <w:right w:val="nil"/>
            </w:tcBorders>
            <w:noWrap/>
            <w:vAlign w:val="bottom"/>
            <w:hideMark/>
          </w:tcPr>
          <w:p w14:paraId="182FF7C3"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270" w:type="dxa"/>
            <w:tcBorders>
              <w:top w:val="nil"/>
              <w:left w:val="nil"/>
              <w:bottom w:val="nil"/>
              <w:right w:val="nil"/>
            </w:tcBorders>
            <w:noWrap/>
            <w:vAlign w:val="bottom"/>
            <w:hideMark/>
          </w:tcPr>
          <w:p w14:paraId="0340B2EF"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641D2C0D"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270" w:type="dxa"/>
            <w:tcBorders>
              <w:top w:val="nil"/>
              <w:left w:val="nil"/>
              <w:bottom w:val="nil"/>
              <w:right w:val="nil"/>
            </w:tcBorders>
            <w:noWrap/>
            <w:vAlign w:val="bottom"/>
            <w:hideMark/>
          </w:tcPr>
          <w:p w14:paraId="4E2FD587"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5760" w:type="dxa"/>
            <w:tcBorders>
              <w:top w:val="nil"/>
              <w:left w:val="nil"/>
              <w:bottom w:val="nil"/>
              <w:right w:val="nil"/>
            </w:tcBorders>
            <w:vAlign w:val="bottom"/>
            <w:hideMark/>
          </w:tcPr>
          <w:p w14:paraId="1C1F6E9E"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r w:rsidR="00413C4B" w:rsidRPr="00413C4B" w14:paraId="783EB558" w14:textId="77777777" w:rsidTr="00413C4B">
        <w:trPr>
          <w:trHeight w:val="288"/>
        </w:trPr>
        <w:tc>
          <w:tcPr>
            <w:tcW w:w="12680" w:type="dxa"/>
            <w:gridSpan w:val="6"/>
            <w:tcBorders>
              <w:top w:val="nil"/>
              <w:left w:val="nil"/>
              <w:bottom w:val="nil"/>
              <w:right w:val="nil"/>
            </w:tcBorders>
            <w:noWrap/>
            <w:vAlign w:val="bottom"/>
            <w:hideMark/>
          </w:tcPr>
          <w:p w14:paraId="397FD5ED"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[2] Vendor Enablement &amp; Partnership Expansion</w:t>
            </w:r>
          </w:p>
        </w:tc>
      </w:tr>
      <w:tr w:rsidR="00413C4B" w:rsidRPr="00413C4B" w14:paraId="60EB5C87"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04F7F6C1"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7C1F38D"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900" w:type="dxa"/>
            <w:tcBorders>
              <w:top w:val="single" w:sz="4" w:space="0" w:color="auto"/>
              <w:left w:val="nil"/>
              <w:bottom w:val="single" w:sz="8" w:space="0" w:color="auto"/>
              <w:right w:val="nil"/>
            </w:tcBorders>
            <w:noWrap/>
            <w:vAlign w:val="bottom"/>
            <w:hideMark/>
          </w:tcPr>
          <w:p w14:paraId="26A92CDC"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432AB615"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5760" w:type="dxa"/>
            <w:tcBorders>
              <w:top w:val="single" w:sz="4" w:space="0" w:color="auto"/>
              <w:left w:val="nil"/>
              <w:bottom w:val="single" w:sz="8" w:space="0" w:color="auto"/>
              <w:right w:val="nil"/>
            </w:tcBorders>
            <w:vAlign w:val="bottom"/>
            <w:hideMark/>
          </w:tcPr>
          <w:p w14:paraId="58982C61"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Notes</w:t>
            </w:r>
          </w:p>
        </w:tc>
      </w:tr>
      <w:tr w:rsidR="00413C4B" w:rsidRPr="00413C4B" w14:paraId="5CB4EBD1" w14:textId="77777777" w:rsidTr="00413C4B">
        <w:trPr>
          <w:gridAfter w:val="1"/>
          <w:wAfter w:w="2060" w:type="dxa"/>
          <w:trHeight w:val="288"/>
        </w:trPr>
        <w:tc>
          <w:tcPr>
            <w:tcW w:w="3420" w:type="dxa"/>
            <w:tcBorders>
              <w:top w:val="nil"/>
              <w:left w:val="nil"/>
              <w:bottom w:val="nil"/>
              <w:right w:val="nil"/>
            </w:tcBorders>
            <w:noWrap/>
            <w:vAlign w:val="bottom"/>
            <w:hideMark/>
          </w:tcPr>
          <w:p w14:paraId="40499856" w14:textId="4DC70B2E"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Vendor C</w:t>
            </w:r>
            <w:r>
              <w:rPr>
                <w:rFonts w:ascii="Aptos Narrow" w:eastAsia="Times New Roman" w:hAnsi="Aptos Narrow" w:cs="Times New Roman"/>
                <w:color w:val="000000"/>
                <w:kern w:val="0"/>
                <w:sz w:val="20"/>
                <w:szCs w:val="20"/>
                <w14:ligatures w14:val="none"/>
              </w:rPr>
              <w:t>o</w:t>
            </w:r>
            <w:r w:rsidRPr="00413C4B">
              <w:rPr>
                <w:rFonts w:ascii="Aptos Narrow" w:eastAsia="Times New Roman" w:hAnsi="Aptos Narrow" w:cs="Times New Roman"/>
                <w:color w:val="000000"/>
                <w:kern w:val="0"/>
                <w:sz w:val="20"/>
                <w:szCs w:val="20"/>
                <w14:ligatures w14:val="none"/>
              </w:rPr>
              <w:t>hort</w:t>
            </w:r>
          </w:p>
        </w:tc>
        <w:tc>
          <w:tcPr>
            <w:tcW w:w="270" w:type="dxa"/>
            <w:tcBorders>
              <w:top w:val="nil"/>
              <w:left w:val="nil"/>
              <w:bottom w:val="nil"/>
              <w:right w:val="nil"/>
            </w:tcBorders>
            <w:noWrap/>
            <w:vAlign w:val="bottom"/>
            <w:hideMark/>
          </w:tcPr>
          <w:p w14:paraId="6265E74B"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7A671018"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2350</w:t>
            </w:r>
          </w:p>
        </w:tc>
        <w:tc>
          <w:tcPr>
            <w:tcW w:w="270" w:type="dxa"/>
            <w:tcBorders>
              <w:top w:val="nil"/>
              <w:left w:val="nil"/>
              <w:bottom w:val="nil"/>
              <w:right w:val="nil"/>
            </w:tcBorders>
            <w:noWrap/>
            <w:vAlign w:val="bottom"/>
            <w:hideMark/>
          </w:tcPr>
          <w:p w14:paraId="5EE15F7B"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0718C7C8"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Enrolled CPFR tenants only</w:t>
            </w:r>
          </w:p>
        </w:tc>
      </w:tr>
      <w:tr w:rsidR="00413C4B" w:rsidRPr="00413C4B" w14:paraId="25B7733F" w14:textId="77777777" w:rsidTr="00413C4B">
        <w:trPr>
          <w:gridAfter w:val="1"/>
          <w:wAfter w:w="2060" w:type="dxa"/>
          <w:trHeight w:val="288"/>
        </w:trPr>
        <w:tc>
          <w:tcPr>
            <w:tcW w:w="3420" w:type="dxa"/>
            <w:tcBorders>
              <w:top w:val="nil"/>
              <w:left w:val="nil"/>
              <w:bottom w:val="nil"/>
              <w:right w:val="nil"/>
            </w:tcBorders>
            <w:noWrap/>
            <w:vAlign w:val="bottom"/>
            <w:hideMark/>
          </w:tcPr>
          <w:p w14:paraId="23C7988E"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Avg Annual Sales</w:t>
            </w:r>
          </w:p>
        </w:tc>
        <w:tc>
          <w:tcPr>
            <w:tcW w:w="270" w:type="dxa"/>
            <w:tcBorders>
              <w:top w:val="nil"/>
              <w:left w:val="nil"/>
              <w:bottom w:val="nil"/>
              <w:right w:val="nil"/>
            </w:tcBorders>
            <w:noWrap/>
            <w:vAlign w:val="bottom"/>
            <w:hideMark/>
          </w:tcPr>
          <w:p w14:paraId="3B343B14"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5DCB50A5"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10000</w:t>
            </w:r>
          </w:p>
        </w:tc>
        <w:tc>
          <w:tcPr>
            <w:tcW w:w="270" w:type="dxa"/>
            <w:tcBorders>
              <w:top w:val="nil"/>
              <w:left w:val="nil"/>
              <w:bottom w:val="nil"/>
              <w:right w:val="nil"/>
            </w:tcBorders>
            <w:noWrap/>
            <w:vAlign w:val="bottom"/>
            <w:hideMark/>
          </w:tcPr>
          <w:p w14:paraId="5BE1B6BC"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7D2C409B"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Compute from cohort</w:t>
            </w:r>
          </w:p>
        </w:tc>
      </w:tr>
      <w:tr w:rsidR="00413C4B" w:rsidRPr="00413C4B" w14:paraId="664725DE" w14:textId="77777777" w:rsidTr="00413C4B">
        <w:trPr>
          <w:gridAfter w:val="1"/>
          <w:wAfter w:w="2060" w:type="dxa"/>
          <w:trHeight w:val="288"/>
        </w:trPr>
        <w:tc>
          <w:tcPr>
            <w:tcW w:w="3420" w:type="dxa"/>
            <w:tcBorders>
              <w:top w:val="nil"/>
              <w:left w:val="nil"/>
              <w:bottom w:val="nil"/>
              <w:right w:val="nil"/>
            </w:tcBorders>
            <w:noWrap/>
            <w:vAlign w:val="bottom"/>
            <w:hideMark/>
          </w:tcPr>
          <w:p w14:paraId="09CCF1F6"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COE incremental lift</w:t>
            </w:r>
          </w:p>
        </w:tc>
        <w:tc>
          <w:tcPr>
            <w:tcW w:w="270" w:type="dxa"/>
            <w:tcBorders>
              <w:top w:val="nil"/>
              <w:left w:val="nil"/>
              <w:bottom w:val="nil"/>
              <w:right w:val="nil"/>
            </w:tcBorders>
            <w:noWrap/>
            <w:vAlign w:val="bottom"/>
            <w:hideMark/>
          </w:tcPr>
          <w:p w14:paraId="166B1514"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25146846" w14:textId="008AAA6C"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0.1</w:t>
            </w:r>
          </w:p>
        </w:tc>
        <w:tc>
          <w:tcPr>
            <w:tcW w:w="270" w:type="dxa"/>
            <w:tcBorders>
              <w:top w:val="nil"/>
              <w:left w:val="nil"/>
              <w:bottom w:val="nil"/>
              <w:right w:val="nil"/>
            </w:tcBorders>
            <w:noWrap/>
            <w:vAlign w:val="bottom"/>
            <w:hideMark/>
          </w:tcPr>
          <w:p w14:paraId="1AF10E43"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2CBCE919" w14:textId="000841E5" w:rsidR="00413C4B" w:rsidRPr="00413C4B" w:rsidRDefault="006C78CF" w:rsidP="00413C4B">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Annual avg pct of lift from COE. </w:t>
            </w:r>
            <w:r w:rsidR="00413C4B" w:rsidRPr="00413C4B">
              <w:rPr>
                <w:rFonts w:ascii="Aptos Narrow" w:eastAsia="Times New Roman" w:hAnsi="Aptos Narrow" w:cs="Times New Roman"/>
                <w:color w:val="000000"/>
                <w:kern w:val="0"/>
                <w:sz w:val="20"/>
                <w:szCs w:val="20"/>
                <w14:ligatures w14:val="none"/>
              </w:rPr>
              <w:t>Survey sample of cohort and adjust</w:t>
            </w:r>
          </w:p>
        </w:tc>
      </w:tr>
      <w:tr w:rsidR="00413C4B" w:rsidRPr="00413C4B" w14:paraId="71B4A273"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5284A1EB"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Percent encumbered</w:t>
            </w:r>
          </w:p>
        </w:tc>
        <w:tc>
          <w:tcPr>
            <w:tcW w:w="270" w:type="dxa"/>
            <w:tcBorders>
              <w:top w:val="nil"/>
              <w:left w:val="nil"/>
              <w:bottom w:val="double" w:sz="4" w:space="0" w:color="auto"/>
              <w:right w:val="nil"/>
            </w:tcBorders>
            <w:noWrap/>
            <w:vAlign w:val="bottom"/>
            <w:hideMark/>
          </w:tcPr>
          <w:p w14:paraId="4544A045"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double" w:sz="4" w:space="0" w:color="auto"/>
              <w:right w:val="nil"/>
            </w:tcBorders>
            <w:noWrap/>
            <w:vAlign w:val="bottom"/>
            <w:hideMark/>
          </w:tcPr>
          <w:p w14:paraId="74C5401E" w14:textId="10E3719F"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0.3</w:t>
            </w:r>
          </w:p>
        </w:tc>
        <w:tc>
          <w:tcPr>
            <w:tcW w:w="270" w:type="dxa"/>
            <w:tcBorders>
              <w:top w:val="nil"/>
              <w:left w:val="nil"/>
              <w:bottom w:val="nil"/>
              <w:right w:val="nil"/>
            </w:tcBorders>
            <w:noWrap/>
            <w:vAlign w:val="bottom"/>
            <w:hideMark/>
          </w:tcPr>
          <w:p w14:paraId="4E39C2EC"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18F7B3AD" w14:textId="4B0D9113" w:rsidR="00413C4B" w:rsidRPr="00413C4B" w:rsidRDefault="006C78CF" w:rsidP="00413C4B">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Annual avg pct of cohort involved. </w:t>
            </w:r>
            <w:r w:rsidR="00413C4B" w:rsidRPr="00413C4B">
              <w:rPr>
                <w:rFonts w:ascii="Aptos Narrow" w:eastAsia="Times New Roman" w:hAnsi="Aptos Narrow" w:cs="Times New Roman"/>
                <w:color w:val="000000"/>
                <w:kern w:val="0"/>
                <w:sz w:val="20"/>
                <w:szCs w:val="20"/>
                <w14:ligatures w14:val="none"/>
              </w:rPr>
              <w:t>Survey ISMs and adjust</w:t>
            </w:r>
          </w:p>
        </w:tc>
      </w:tr>
      <w:tr w:rsidR="00413C4B" w:rsidRPr="00413C4B" w14:paraId="05DE9D77"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1B4FDF1F" w14:textId="7147BD8B"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Op</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Ex</w:t>
            </w:r>
          </w:p>
        </w:tc>
        <w:tc>
          <w:tcPr>
            <w:tcW w:w="270" w:type="dxa"/>
            <w:tcBorders>
              <w:top w:val="double" w:sz="4" w:space="0" w:color="auto"/>
              <w:left w:val="nil"/>
              <w:bottom w:val="nil"/>
              <w:right w:val="nil"/>
            </w:tcBorders>
            <w:noWrap/>
            <w:vAlign w:val="bottom"/>
            <w:hideMark/>
          </w:tcPr>
          <w:p w14:paraId="622F6EEB"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p>
        </w:tc>
        <w:tc>
          <w:tcPr>
            <w:tcW w:w="900" w:type="dxa"/>
            <w:tcBorders>
              <w:top w:val="double" w:sz="4" w:space="0" w:color="auto"/>
              <w:left w:val="nil"/>
              <w:bottom w:val="nil"/>
              <w:right w:val="nil"/>
            </w:tcBorders>
            <w:noWrap/>
            <w:vAlign w:val="bottom"/>
            <w:hideMark/>
          </w:tcPr>
          <w:p w14:paraId="50BF1239" w14:textId="2D747DB1"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7</w:t>
            </w:r>
            <w:r w:rsidR="006C78CF">
              <w:rPr>
                <w:rFonts w:ascii="Aptos Narrow" w:eastAsia="Times New Roman" w:hAnsi="Aptos Narrow" w:cs="Times New Roman"/>
                <w:color w:val="000000"/>
                <w:kern w:val="0"/>
                <w:sz w:val="20"/>
                <w:szCs w:val="20"/>
                <w14:ligatures w14:val="none"/>
              </w:rPr>
              <w:t>0560</w:t>
            </w:r>
            <w:r w:rsidRPr="00413C4B">
              <w:rPr>
                <w:rFonts w:ascii="Aptos Narrow" w:eastAsia="Times New Roman" w:hAnsi="Aptos Narrow" w:cs="Times New Roman"/>
                <w:color w:val="000000"/>
                <w:kern w:val="0"/>
                <w:sz w:val="20"/>
                <w:szCs w:val="20"/>
                <w14:ligatures w14:val="none"/>
              </w:rPr>
              <w:t>0</w:t>
            </w:r>
          </w:p>
        </w:tc>
        <w:tc>
          <w:tcPr>
            <w:tcW w:w="270" w:type="dxa"/>
            <w:tcBorders>
              <w:top w:val="nil"/>
              <w:left w:val="nil"/>
              <w:bottom w:val="nil"/>
              <w:right w:val="nil"/>
            </w:tcBorders>
            <w:noWrap/>
            <w:vAlign w:val="bottom"/>
            <w:hideMark/>
          </w:tcPr>
          <w:p w14:paraId="4D2B0147"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05DCE234"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r w:rsidR="00413C4B" w:rsidRPr="00413C4B" w14:paraId="5CB553ED" w14:textId="77777777" w:rsidTr="00413C4B">
        <w:trPr>
          <w:gridAfter w:val="1"/>
          <w:wAfter w:w="2060" w:type="dxa"/>
          <w:trHeight w:val="288"/>
        </w:trPr>
        <w:tc>
          <w:tcPr>
            <w:tcW w:w="3420" w:type="dxa"/>
            <w:tcBorders>
              <w:top w:val="nil"/>
              <w:left w:val="nil"/>
              <w:bottom w:val="nil"/>
              <w:right w:val="nil"/>
            </w:tcBorders>
            <w:noWrap/>
            <w:vAlign w:val="bottom"/>
            <w:hideMark/>
          </w:tcPr>
          <w:p w14:paraId="484B9707"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270" w:type="dxa"/>
            <w:tcBorders>
              <w:top w:val="nil"/>
              <w:left w:val="nil"/>
              <w:bottom w:val="nil"/>
              <w:right w:val="nil"/>
            </w:tcBorders>
            <w:noWrap/>
            <w:vAlign w:val="bottom"/>
            <w:hideMark/>
          </w:tcPr>
          <w:p w14:paraId="16EDB53F"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384EF33A"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270" w:type="dxa"/>
            <w:tcBorders>
              <w:top w:val="nil"/>
              <w:left w:val="nil"/>
              <w:bottom w:val="nil"/>
              <w:right w:val="nil"/>
            </w:tcBorders>
            <w:noWrap/>
            <w:vAlign w:val="bottom"/>
            <w:hideMark/>
          </w:tcPr>
          <w:p w14:paraId="47D5BA88"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5760" w:type="dxa"/>
            <w:tcBorders>
              <w:top w:val="nil"/>
              <w:left w:val="nil"/>
              <w:bottom w:val="nil"/>
              <w:right w:val="nil"/>
            </w:tcBorders>
            <w:vAlign w:val="bottom"/>
            <w:hideMark/>
          </w:tcPr>
          <w:p w14:paraId="6D61D1AA"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r w:rsidR="00413C4B" w:rsidRPr="00413C4B" w14:paraId="42F5D1AA" w14:textId="77777777" w:rsidTr="00413C4B">
        <w:trPr>
          <w:trHeight w:val="288"/>
        </w:trPr>
        <w:tc>
          <w:tcPr>
            <w:tcW w:w="12680" w:type="dxa"/>
            <w:gridSpan w:val="6"/>
            <w:tcBorders>
              <w:top w:val="nil"/>
              <w:left w:val="nil"/>
              <w:bottom w:val="nil"/>
              <w:right w:val="nil"/>
            </w:tcBorders>
            <w:noWrap/>
            <w:vAlign w:val="bottom"/>
            <w:hideMark/>
          </w:tcPr>
          <w:p w14:paraId="33619DF7"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[3] Enterprise Data Alignment &amp; Future Readiness</w:t>
            </w:r>
          </w:p>
        </w:tc>
      </w:tr>
      <w:tr w:rsidR="00413C4B" w:rsidRPr="00413C4B" w14:paraId="6C54572E"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46F5E94"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5F8C0A76"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900" w:type="dxa"/>
            <w:tcBorders>
              <w:top w:val="single" w:sz="4" w:space="0" w:color="auto"/>
              <w:left w:val="nil"/>
              <w:bottom w:val="single" w:sz="8" w:space="0" w:color="auto"/>
              <w:right w:val="nil"/>
            </w:tcBorders>
            <w:noWrap/>
            <w:vAlign w:val="bottom"/>
            <w:hideMark/>
          </w:tcPr>
          <w:p w14:paraId="1A7A41A3"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5F34CBDA"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5760" w:type="dxa"/>
            <w:tcBorders>
              <w:top w:val="single" w:sz="4" w:space="0" w:color="auto"/>
              <w:left w:val="nil"/>
              <w:bottom w:val="single" w:sz="8" w:space="0" w:color="auto"/>
              <w:right w:val="nil"/>
            </w:tcBorders>
            <w:vAlign w:val="bottom"/>
            <w:hideMark/>
          </w:tcPr>
          <w:p w14:paraId="077D4889"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Notes</w:t>
            </w:r>
          </w:p>
        </w:tc>
      </w:tr>
      <w:tr w:rsidR="00413C4B" w:rsidRPr="00413C4B" w14:paraId="364F381A" w14:textId="77777777" w:rsidTr="00413C4B">
        <w:trPr>
          <w:gridAfter w:val="1"/>
          <w:wAfter w:w="2060" w:type="dxa"/>
          <w:trHeight w:val="288"/>
        </w:trPr>
        <w:tc>
          <w:tcPr>
            <w:tcW w:w="3420" w:type="dxa"/>
            <w:tcBorders>
              <w:top w:val="nil"/>
              <w:left w:val="nil"/>
              <w:bottom w:val="nil"/>
              <w:right w:val="nil"/>
            </w:tcBorders>
            <w:noWrap/>
            <w:vAlign w:val="bottom"/>
            <w:hideMark/>
          </w:tcPr>
          <w:p w14:paraId="7AA16E60"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Deep-dive Events (Lift)</w:t>
            </w:r>
          </w:p>
        </w:tc>
        <w:tc>
          <w:tcPr>
            <w:tcW w:w="270" w:type="dxa"/>
            <w:tcBorders>
              <w:top w:val="nil"/>
              <w:left w:val="nil"/>
              <w:bottom w:val="nil"/>
              <w:right w:val="nil"/>
            </w:tcBorders>
            <w:noWrap/>
            <w:vAlign w:val="bottom"/>
            <w:hideMark/>
          </w:tcPr>
          <w:p w14:paraId="1E146405"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0F4DD322" w14:textId="52CDACE4" w:rsidR="00413C4B" w:rsidRPr="00413C4B" w:rsidRDefault="003E656D" w:rsidP="00413C4B">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24</w:t>
            </w:r>
          </w:p>
        </w:tc>
        <w:tc>
          <w:tcPr>
            <w:tcW w:w="270" w:type="dxa"/>
            <w:tcBorders>
              <w:top w:val="nil"/>
              <w:left w:val="nil"/>
              <w:bottom w:val="nil"/>
              <w:right w:val="nil"/>
            </w:tcBorders>
            <w:noWrap/>
            <w:vAlign w:val="bottom"/>
            <w:hideMark/>
          </w:tcPr>
          <w:p w14:paraId="37A9857C"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7D72C07B"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incremental revenue from throughput improvements</w:t>
            </w:r>
          </w:p>
        </w:tc>
      </w:tr>
      <w:tr w:rsidR="00413C4B" w:rsidRPr="00413C4B" w14:paraId="435AE53A" w14:textId="77777777" w:rsidTr="00413C4B">
        <w:trPr>
          <w:gridAfter w:val="1"/>
          <w:wAfter w:w="2060" w:type="dxa"/>
          <w:trHeight w:val="288"/>
        </w:trPr>
        <w:tc>
          <w:tcPr>
            <w:tcW w:w="3420" w:type="dxa"/>
            <w:tcBorders>
              <w:top w:val="nil"/>
              <w:left w:val="nil"/>
              <w:bottom w:val="nil"/>
              <w:right w:val="nil"/>
            </w:tcBorders>
            <w:noWrap/>
            <w:vAlign w:val="bottom"/>
            <w:hideMark/>
          </w:tcPr>
          <w:p w14:paraId="18281C62" w14:textId="77777777" w:rsidR="00413C4B" w:rsidRPr="00413C4B" w:rsidRDefault="00413C4B" w:rsidP="00413C4B">
            <w:pPr>
              <w:spacing w:after="0" w:line="240" w:lineRule="auto"/>
              <w:ind w:firstLineChars="200" w:firstLine="4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Lift per event</w:t>
            </w:r>
          </w:p>
        </w:tc>
        <w:tc>
          <w:tcPr>
            <w:tcW w:w="270" w:type="dxa"/>
            <w:tcBorders>
              <w:top w:val="nil"/>
              <w:left w:val="nil"/>
              <w:bottom w:val="nil"/>
              <w:right w:val="nil"/>
            </w:tcBorders>
            <w:noWrap/>
            <w:vAlign w:val="bottom"/>
            <w:hideMark/>
          </w:tcPr>
          <w:p w14:paraId="55D59465" w14:textId="77777777" w:rsidR="00413C4B" w:rsidRPr="00413C4B" w:rsidRDefault="00413C4B" w:rsidP="00413C4B">
            <w:pPr>
              <w:spacing w:after="0" w:line="240" w:lineRule="auto"/>
              <w:ind w:firstLineChars="200" w:firstLine="4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7DAADAC0"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45000</w:t>
            </w:r>
          </w:p>
        </w:tc>
        <w:tc>
          <w:tcPr>
            <w:tcW w:w="270" w:type="dxa"/>
            <w:tcBorders>
              <w:top w:val="nil"/>
              <w:left w:val="nil"/>
              <w:bottom w:val="nil"/>
              <w:right w:val="nil"/>
            </w:tcBorders>
            <w:noWrap/>
            <w:vAlign w:val="bottom"/>
            <w:hideMark/>
          </w:tcPr>
          <w:p w14:paraId="1E9705D1"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22C6E564"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Average across In-Stock</w:t>
            </w:r>
          </w:p>
        </w:tc>
      </w:tr>
      <w:tr w:rsidR="00413C4B" w:rsidRPr="00413C4B" w14:paraId="556F0F5E" w14:textId="77777777" w:rsidTr="00413C4B">
        <w:trPr>
          <w:gridAfter w:val="1"/>
          <w:wAfter w:w="2060" w:type="dxa"/>
          <w:trHeight w:val="288"/>
        </w:trPr>
        <w:tc>
          <w:tcPr>
            <w:tcW w:w="3420" w:type="dxa"/>
            <w:tcBorders>
              <w:top w:val="nil"/>
              <w:left w:val="nil"/>
              <w:bottom w:val="nil"/>
              <w:right w:val="nil"/>
            </w:tcBorders>
            <w:noWrap/>
            <w:vAlign w:val="bottom"/>
            <w:hideMark/>
          </w:tcPr>
          <w:p w14:paraId="1118A8E1"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Deep-dive Events (COE)</w:t>
            </w:r>
          </w:p>
        </w:tc>
        <w:tc>
          <w:tcPr>
            <w:tcW w:w="270" w:type="dxa"/>
            <w:tcBorders>
              <w:top w:val="nil"/>
              <w:left w:val="nil"/>
              <w:bottom w:val="nil"/>
              <w:right w:val="nil"/>
            </w:tcBorders>
            <w:noWrap/>
            <w:vAlign w:val="bottom"/>
            <w:hideMark/>
          </w:tcPr>
          <w:p w14:paraId="7A138C29"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5AF50B96"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60</w:t>
            </w:r>
          </w:p>
        </w:tc>
        <w:tc>
          <w:tcPr>
            <w:tcW w:w="270" w:type="dxa"/>
            <w:tcBorders>
              <w:top w:val="nil"/>
              <w:left w:val="nil"/>
              <w:bottom w:val="nil"/>
              <w:right w:val="nil"/>
            </w:tcBorders>
            <w:noWrap/>
            <w:vAlign w:val="bottom"/>
            <w:hideMark/>
          </w:tcPr>
          <w:p w14:paraId="05CA5BBA"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3F2DA711"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Operational efficiency gains, COE, Spoilage avoidance, NOP improvement</w:t>
            </w:r>
          </w:p>
        </w:tc>
      </w:tr>
      <w:tr w:rsidR="00413C4B" w:rsidRPr="00413C4B" w14:paraId="34CA6E3E" w14:textId="77777777" w:rsidTr="00413C4B">
        <w:trPr>
          <w:gridAfter w:val="1"/>
          <w:wAfter w:w="2060" w:type="dxa"/>
          <w:trHeight w:val="288"/>
        </w:trPr>
        <w:tc>
          <w:tcPr>
            <w:tcW w:w="3420" w:type="dxa"/>
            <w:tcBorders>
              <w:top w:val="nil"/>
              <w:left w:val="nil"/>
              <w:bottom w:val="nil"/>
              <w:right w:val="nil"/>
            </w:tcBorders>
            <w:noWrap/>
            <w:vAlign w:val="bottom"/>
            <w:hideMark/>
          </w:tcPr>
          <w:p w14:paraId="20AD5AF9" w14:textId="77777777" w:rsidR="00413C4B" w:rsidRPr="00413C4B" w:rsidRDefault="00413C4B" w:rsidP="00413C4B">
            <w:pPr>
              <w:spacing w:after="0" w:line="240" w:lineRule="auto"/>
              <w:ind w:firstLineChars="200" w:firstLine="4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Cost Avoidance per event</w:t>
            </w:r>
          </w:p>
        </w:tc>
        <w:tc>
          <w:tcPr>
            <w:tcW w:w="270" w:type="dxa"/>
            <w:tcBorders>
              <w:top w:val="nil"/>
              <w:left w:val="nil"/>
              <w:bottom w:val="nil"/>
              <w:right w:val="nil"/>
            </w:tcBorders>
            <w:noWrap/>
            <w:vAlign w:val="bottom"/>
            <w:hideMark/>
          </w:tcPr>
          <w:p w14:paraId="3587C36C" w14:textId="77777777" w:rsidR="00413C4B" w:rsidRPr="00413C4B" w:rsidRDefault="00413C4B" w:rsidP="00413C4B">
            <w:pPr>
              <w:spacing w:after="0" w:line="240" w:lineRule="auto"/>
              <w:ind w:firstLineChars="200" w:firstLine="4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3460CC38"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45000</w:t>
            </w:r>
          </w:p>
        </w:tc>
        <w:tc>
          <w:tcPr>
            <w:tcW w:w="270" w:type="dxa"/>
            <w:tcBorders>
              <w:top w:val="nil"/>
              <w:left w:val="nil"/>
              <w:bottom w:val="nil"/>
              <w:right w:val="nil"/>
            </w:tcBorders>
            <w:noWrap/>
            <w:vAlign w:val="bottom"/>
            <w:hideMark/>
          </w:tcPr>
          <w:p w14:paraId="00874CDA"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619BE5C4"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Average across In-Stock</w:t>
            </w:r>
          </w:p>
        </w:tc>
      </w:tr>
      <w:tr w:rsidR="00413C4B" w:rsidRPr="00413C4B" w14:paraId="571F58A7" w14:textId="77777777" w:rsidTr="00413C4B">
        <w:trPr>
          <w:gridAfter w:val="1"/>
          <w:wAfter w:w="2060" w:type="dxa"/>
          <w:trHeight w:val="288"/>
        </w:trPr>
        <w:tc>
          <w:tcPr>
            <w:tcW w:w="3420" w:type="dxa"/>
            <w:tcBorders>
              <w:top w:val="nil"/>
              <w:left w:val="nil"/>
              <w:bottom w:val="nil"/>
              <w:right w:val="nil"/>
            </w:tcBorders>
            <w:noWrap/>
            <w:vAlign w:val="bottom"/>
            <w:hideMark/>
          </w:tcPr>
          <w:p w14:paraId="54F3FDE4"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Deep-dive Events (NPI)</w:t>
            </w:r>
          </w:p>
        </w:tc>
        <w:tc>
          <w:tcPr>
            <w:tcW w:w="270" w:type="dxa"/>
            <w:tcBorders>
              <w:top w:val="nil"/>
              <w:left w:val="nil"/>
              <w:bottom w:val="nil"/>
              <w:right w:val="nil"/>
            </w:tcBorders>
            <w:noWrap/>
            <w:vAlign w:val="bottom"/>
            <w:hideMark/>
          </w:tcPr>
          <w:p w14:paraId="2F5FE49A"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0CD1BA72"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10</w:t>
            </w:r>
          </w:p>
        </w:tc>
        <w:tc>
          <w:tcPr>
            <w:tcW w:w="270" w:type="dxa"/>
            <w:tcBorders>
              <w:top w:val="nil"/>
              <w:left w:val="nil"/>
              <w:bottom w:val="nil"/>
              <w:right w:val="nil"/>
            </w:tcBorders>
            <w:noWrap/>
            <w:vAlign w:val="bottom"/>
            <w:hideMark/>
          </w:tcPr>
          <w:p w14:paraId="64EA5A5D"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0D998F69"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NPI/Catalog additions and product line unlocks.</w:t>
            </w:r>
          </w:p>
        </w:tc>
      </w:tr>
      <w:tr w:rsidR="00413C4B" w:rsidRPr="00413C4B" w14:paraId="2CD8054E" w14:textId="77777777" w:rsidTr="00413C4B">
        <w:trPr>
          <w:gridAfter w:val="1"/>
          <w:wAfter w:w="2060" w:type="dxa"/>
          <w:trHeight w:val="288"/>
        </w:trPr>
        <w:tc>
          <w:tcPr>
            <w:tcW w:w="3420" w:type="dxa"/>
            <w:tcBorders>
              <w:top w:val="nil"/>
              <w:left w:val="nil"/>
              <w:bottom w:val="nil"/>
              <w:right w:val="nil"/>
            </w:tcBorders>
            <w:noWrap/>
            <w:vAlign w:val="bottom"/>
            <w:hideMark/>
          </w:tcPr>
          <w:p w14:paraId="6898F0A2" w14:textId="77777777" w:rsidR="00413C4B" w:rsidRPr="00413C4B" w:rsidRDefault="00413C4B" w:rsidP="00413C4B">
            <w:pPr>
              <w:spacing w:after="0" w:line="240" w:lineRule="auto"/>
              <w:ind w:firstLineChars="200" w:firstLine="4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Incremental SKU revenue</w:t>
            </w:r>
          </w:p>
        </w:tc>
        <w:tc>
          <w:tcPr>
            <w:tcW w:w="270" w:type="dxa"/>
            <w:tcBorders>
              <w:top w:val="nil"/>
              <w:left w:val="nil"/>
              <w:bottom w:val="nil"/>
              <w:right w:val="nil"/>
            </w:tcBorders>
            <w:noWrap/>
            <w:vAlign w:val="bottom"/>
            <w:hideMark/>
          </w:tcPr>
          <w:p w14:paraId="4E545B41" w14:textId="77777777" w:rsidR="00413C4B" w:rsidRPr="00413C4B" w:rsidRDefault="00413C4B" w:rsidP="00413C4B">
            <w:pPr>
              <w:spacing w:after="0" w:line="240" w:lineRule="auto"/>
              <w:ind w:firstLineChars="200" w:firstLine="4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153DB5BE"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45000</w:t>
            </w:r>
          </w:p>
        </w:tc>
        <w:tc>
          <w:tcPr>
            <w:tcW w:w="270" w:type="dxa"/>
            <w:tcBorders>
              <w:top w:val="nil"/>
              <w:left w:val="nil"/>
              <w:bottom w:val="nil"/>
              <w:right w:val="nil"/>
            </w:tcBorders>
            <w:noWrap/>
            <w:vAlign w:val="bottom"/>
            <w:hideMark/>
          </w:tcPr>
          <w:p w14:paraId="7B71E76D"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5BC843A5"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Average across In-Stock</w:t>
            </w:r>
          </w:p>
        </w:tc>
      </w:tr>
      <w:tr w:rsidR="00413C4B" w:rsidRPr="00413C4B" w14:paraId="0B917CA9"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76505E8B"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Impact rate of data inconsistency</w:t>
            </w:r>
          </w:p>
        </w:tc>
        <w:tc>
          <w:tcPr>
            <w:tcW w:w="270" w:type="dxa"/>
            <w:tcBorders>
              <w:top w:val="nil"/>
              <w:left w:val="nil"/>
              <w:bottom w:val="double" w:sz="4" w:space="0" w:color="auto"/>
              <w:right w:val="nil"/>
            </w:tcBorders>
            <w:noWrap/>
            <w:vAlign w:val="bottom"/>
            <w:hideMark/>
          </w:tcPr>
          <w:p w14:paraId="0447F934"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p>
        </w:tc>
        <w:tc>
          <w:tcPr>
            <w:tcW w:w="900" w:type="dxa"/>
            <w:tcBorders>
              <w:top w:val="nil"/>
              <w:left w:val="nil"/>
              <w:bottom w:val="double" w:sz="4" w:space="0" w:color="auto"/>
              <w:right w:val="nil"/>
            </w:tcBorders>
            <w:noWrap/>
            <w:vAlign w:val="bottom"/>
            <w:hideMark/>
          </w:tcPr>
          <w:p w14:paraId="582FF95C"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0.1</w:t>
            </w:r>
          </w:p>
        </w:tc>
        <w:tc>
          <w:tcPr>
            <w:tcW w:w="270" w:type="dxa"/>
            <w:tcBorders>
              <w:top w:val="nil"/>
              <w:left w:val="nil"/>
              <w:bottom w:val="nil"/>
              <w:right w:val="nil"/>
            </w:tcBorders>
            <w:noWrap/>
            <w:vAlign w:val="bottom"/>
            <w:hideMark/>
          </w:tcPr>
          <w:p w14:paraId="437E2479"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594A1EEE"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Percent of time that more data consistency or visibility was impactful</w:t>
            </w:r>
          </w:p>
        </w:tc>
      </w:tr>
      <w:tr w:rsidR="00413C4B" w:rsidRPr="00413C4B" w14:paraId="588FBDA5"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7E2C2707" w14:textId="5A42AF89"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Op</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Ex</w:t>
            </w:r>
          </w:p>
        </w:tc>
        <w:tc>
          <w:tcPr>
            <w:tcW w:w="270" w:type="dxa"/>
            <w:tcBorders>
              <w:top w:val="double" w:sz="4" w:space="0" w:color="auto"/>
              <w:left w:val="nil"/>
              <w:bottom w:val="nil"/>
              <w:right w:val="nil"/>
            </w:tcBorders>
            <w:noWrap/>
            <w:vAlign w:val="bottom"/>
            <w:hideMark/>
          </w:tcPr>
          <w:p w14:paraId="7EE2430E"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p>
        </w:tc>
        <w:tc>
          <w:tcPr>
            <w:tcW w:w="900" w:type="dxa"/>
            <w:tcBorders>
              <w:top w:val="double" w:sz="4" w:space="0" w:color="auto"/>
              <w:left w:val="nil"/>
              <w:bottom w:val="nil"/>
              <w:right w:val="nil"/>
            </w:tcBorders>
            <w:noWrap/>
            <w:vAlign w:val="bottom"/>
            <w:hideMark/>
          </w:tcPr>
          <w:p w14:paraId="493378AE" w14:textId="07A361CC" w:rsidR="00413C4B" w:rsidRPr="00413C4B" w:rsidRDefault="003E656D" w:rsidP="00413C4B">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375</w:t>
            </w:r>
            <w:r w:rsidR="00413C4B" w:rsidRPr="00413C4B">
              <w:rPr>
                <w:rFonts w:ascii="Aptos Narrow" w:eastAsia="Times New Roman" w:hAnsi="Aptos Narrow" w:cs="Times New Roman"/>
                <w:color w:val="000000"/>
                <w:kern w:val="0"/>
                <w:sz w:val="20"/>
                <w:szCs w:val="20"/>
                <w14:ligatures w14:val="none"/>
              </w:rPr>
              <w:t>000</w:t>
            </w:r>
          </w:p>
        </w:tc>
        <w:tc>
          <w:tcPr>
            <w:tcW w:w="270" w:type="dxa"/>
            <w:tcBorders>
              <w:top w:val="nil"/>
              <w:left w:val="nil"/>
              <w:bottom w:val="nil"/>
              <w:right w:val="nil"/>
            </w:tcBorders>
            <w:noWrap/>
            <w:vAlign w:val="bottom"/>
            <w:hideMark/>
          </w:tcPr>
          <w:p w14:paraId="56A98A25"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41258C9A"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r w:rsidR="00413C4B" w:rsidRPr="00413C4B" w14:paraId="441C73DA" w14:textId="77777777" w:rsidTr="00413C4B">
        <w:trPr>
          <w:gridAfter w:val="1"/>
          <w:wAfter w:w="2060" w:type="dxa"/>
          <w:trHeight w:val="288"/>
        </w:trPr>
        <w:tc>
          <w:tcPr>
            <w:tcW w:w="3420" w:type="dxa"/>
            <w:tcBorders>
              <w:top w:val="nil"/>
              <w:left w:val="nil"/>
              <w:bottom w:val="nil"/>
              <w:right w:val="nil"/>
            </w:tcBorders>
            <w:noWrap/>
            <w:vAlign w:val="bottom"/>
            <w:hideMark/>
          </w:tcPr>
          <w:p w14:paraId="1D6B4AA5"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270" w:type="dxa"/>
            <w:tcBorders>
              <w:top w:val="nil"/>
              <w:left w:val="nil"/>
              <w:bottom w:val="nil"/>
              <w:right w:val="nil"/>
            </w:tcBorders>
            <w:noWrap/>
            <w:vAlign w:val="bottom"/>
            <w:hideMark/>
          </w:tcPr>
          <w:p w14:paraId="381B5E67"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0D0173AE"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270" w:type="dxa"/>
            <w:tcBorders>
              <w:top w:val="nil"/>
              <w:left w:val="nil"/>
              <w:bottom w:val="nil"/>
              <w:right w:val="nil"/>
            </w:tcBorders>
            <w:noWrap/>
            <w:vAlign w:val="bottom"/>
            <w:hideMark/>
          </w:tcPr>
          <w:p w14:paraId="0BBFA106"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c>
          <w:tcPr>
            <w:tcW w:w="5760" w:type="dxa"/>
            <w:tcBorders>
              <w:top w:val="nil"/>
              <w:left w:val="nil"/>
              <w:bottom w:val="nil"/>
              <w:right w:val="nil"/>
            </w:tcBorders>
            <w:vAlign w:val="bottom"/>
            <w:hideMark/>
          </w:tcPr>
          <w:p w14:paraId="5191093E"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r w:rsidR="00413C4B" w:rsidRPr="00413C4B" w14:paraId="05D1D897" w14:textId="77777777" w:rsidTr="00413C4B">
        <w:trPr>
          <w:trHeight w:val="288"/>
        </w:trPr>
        <w:tc>
          <w:tcPr>
            <w:tcW w:w="12680" w:type="dxa"/>
            <w:gridSpan w:val="6"/>
            <w:tcBorders>
              <w:top w:val="nil"/>
              <w:left w:val="nil"/>
              <w:bottom w:val="nil"/>
              <w:right w:val="nil"/>
            </w:tcBorders>
            <w:noWrap/>
            <w:vAlign w:val="bottom"/>
            <w:hideMark/>
          </w:tcPr>
          <w:p w14:paraId="1295545B"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[4] Strategic Growth Enablement</w:t>
            </w:r>
          </w:p>
        </w:tc>
      </w:tr>
      <w:tr w:rsidR="00413C4B" w:rsidRPr="00413C4B" w14:paraId="68CEC4D7" w14:textId="77777777" w:rsidTr="00413C4B">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C7FD1A5"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E9A75FE"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AD5CF3"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3D3C1A7"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w:t>
            </w:r>
          </w:p>
        </w:tc>
        <w:tc>
          <w:tcPr>
            <w:tcW w:w="5760" w:type="dxa"/>
            <w:tcBorders>
              <w:top w:val="single" w:sz="4" w:space="0" w:color="auto"/>
              <w:left w:val="nil"/>
              <w:bottom w:val="single" w:sz="8" w:space="0" w:color="auto"/>
              <w:right w:val="nil"/>
            </w:tcBorders>
            <w:vAlign w:val="bottom"/>
            <w:hideMark/>
          </w:tcPr>
          <w:p w14:paraId="6DB8E24E"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Notes</w:t>
            </w:r>
          </w:p>
        </w:tc>
      </w:tr>
      <w:tr w:rsidR="00413C4B" w:rsidRPr="00413C4B" w14:paraId="5C8426F7" w14:textId="77777777" w:rsidTr="00413C4B">
        <w:trPr>
          <w:gridAfter w:val="1"/>
          <w:wAfter w:w="2060" w:type="dxa"/>
          <w:trHeight w:val="288"/>
        </w:trPr>
        <w:tc>
          <w:tcPr>
            <w:tcW w:w="3420" w:type="dxa"/>
            <w:tcBorders>
              <w:top w:val="nil"/>
              <w:left w:val="nil"/>
              <w:bottom w:val="nil"/>
              <w:right w:val="nil"/>
            </w:tcBorders>
            <w:noWrap/>
            <w:vAlign w:val="bottom"/>
            <w:hideMark/>
          </w:tcPr>
          <w:p w14:paraId="5F626BB5"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Analytic Opportunity</w:t>
            </w:r>
          </w:p>
        </w:tc>
        <w:tc>
          <w:tcPr>
            <w:tcW w:w="270" w:type="dxa"/>
            <w:tcBorders>
              <w:top w:val="nil"/>
              <w:left w:val="nil"/>
              <w:bottom w:val="nil"/>
              <w:right w:val="nil"/>
            </w:tcBorders>
            <w:noWrap/>
            <w:vAlign w:val="bottom"/>
            <w:hideMark/>
          </w:tcPr>
          <w:p w14:paraId="5DCAE567"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4BCF9AC7"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150000</w:t>
            </w:r>
          </w:p>
        </w:tc>
        <w:tc>
          <w:tcPr>
            <w:tcW w:w="270" w:type="dxa"/>
            <w:tcBorders>
              <w:top w:val="nil"/>
              <w:left w:val="nil"/>
              <w:bottom w:val="nil"/>
              <w:right w:val="nil"/>
            </w:tcBorders>
            <w:noWrap/>
            <w:vAlign w:val="bottom"/>
            <w:hideMark/>
          </w:tcPr>
          <w:p w14:paraId="76718F85"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7D9BC93D" w14:textId="130C111D"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Pro</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rata value of program contribution: future analytics opportunities</w:t>
            </w:r>
          </w:p>
        </w:tc>
      </w:tr>
      <w:tr w:rsidR="00413C4B" w:rsidRPr="00413C4B" w14:paraId="03BC4A30" w14:textId="77777777" w:rsidTr="00413C4B">
        <w:trPr>
          <w:gridAfter w:val="1"/>
          <w:wAfter w:w="2060" w:type="dxa"/>
          <w:trHeight w:val="288"/>
        </w:trPr>
        <w:tc>
          <w:tcPr>
            <w:tcW w:w="3420" w:type="dxa"/>
            <w:tcBorders>
              <w:top w:val="nil"/>
              <w:left w:val="nil"/>
              <w:bottom w:val="nil"/>
              <w:right w:val="nil"/>
            </w:tcBorders>
            <w:noWrap/>
            <w:vAlign w:val="bottom"/>
            <w:hideMark/>
          </w:tcPr>
          <w:p w14:paraId="54D7AAAB"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 xml:space="preserve">AI/ML Opportunity </w:t>
            </w:r>
          </w:p>
        </w:tc>
        <w:tc>
          <w:tcPr>
            <w:tcW w:w="270" w:type="dxa"/>
            <w:tcBorders>
              <w:top w:val="nil"/>
              <w:left w:val="nil"/>
              <w:bottom w:val="nil"/>
              <w:right w:val="nil"/>
            </w:tcBorders>
            <w:noWrap/>
            <w:vAlign w:val="bottom"/>
            <w:hideMark/>
          </w:tcPr>
          <w:p w14:paraId="70BB5343"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nil"/>
              <w:right w:val="nil"/>
            </w:tcBorders>
            <w:noWrap/>
            <w:vAlign w:val="bottom"/>
            <w:hideMark/>
          </w:tcPr>
          <w:p w14:paraId="5D7615D1"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375000</w:t>
            </w:r>
          </w:p>
        </w:tc>
        <w:tc>
          <w:tcPr>
            <w:tcW w:w="270" w:type="dxa"/>
            <w:tcBorders>
              <w:top w:val="nil"/>
              <w:left w:val="nil"/>
              <w:bottom w:val="nil"/>
              <w:right w:val="nil"/>
            </w:tcBorders>
            <w:noWrap/>
            <w:vAlign w:val="bottom"/>
            <w:hideMark/>
          </w:tcPr>
          <w:p w14:paraId="162FE319"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4627E656" w14:textId="20888DE1"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Pro</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rata value of program contribution: future AI/ML opportunities</w:t>
            </w:r>
          </w:p>
        </w:tc>
      </w:tr>
      <w:tr w:rsidR="00413C4B" w:rsidRPr="00413C4B" w14:paraId="7F276B70" w14:textId="77777777" w:rsidTr="00413C4B">
        <w:trPr>
          <w:gridAfter w:val="1"/>
          <w:wAfter w:w="2060" w:type="dxa"/>
          <w:trHeight w:val="288"/>
        </w:trPr>
        <w:tc>
          <w:tcPr>
            <w:tcW w:w="3420" w:type="dxa"/>
            <w:tcBorders>
              <w:top w:val="nil"/>
              <w:left w:val="nil"/>
              <w:bottom w:val="double" w:sz="4" w:space="0" w:color="auto"/>
              <w:right w:val="nil"/>
            </w:tcBorders>
            <w:noWrap/>
            <w:vAlign w:val="bottom"/>
            <w:hideMark/>
          </w:tcPr>
          <w:p w14:paraId="6976B7DA"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Lean / 6σ</w:t>
            </w:r>
          </w:p>
        </w:tc>
        <w:tc>
          <w:tcPr>
            <w:tcW w:w="270" w:type="dxa"/>
            <w:tcBorders>
              <w:top w:val="nil"/>
              <w:left w:val="nil"/>
              <w:bottom w:val="double" w:sz="4" w:space="0" w:color="auto"/>
              <w:right w:val="nil"/>
            </w:tcBorders>
            <w:noWrap/>
            <w:vAlign w:val="bottom"/>
            <w:hideMark/>
          </w:tcPr>
          <w:p w14:paraId="0A780AAE" w14:textId="77777777" w:rsidR="00413C4B" w:rsidRPr="00413C4B" w:rsidRDefault="00413C4B" w:rsidP="00413C4B">
            <w:pPr>
              <w:spacing w:after="0" w:line="240" w:lineRule="auto"/>
              <w:ind w:firstLineChars="100" w:firstLine="200"/>
              <w:rPr>
                <w:rFonts w:ascii="Aptos Narrow" w:eastAsia="Times New Roman" w:hAnsi="Aptos Narrow" w:cs="Times New Roman"/>
                <w:color w:val="000000"/>
                <w:kern w:val="0"/>
                <w:sz w:val="20"/>
                <w:szCs w:val="20"/>
                <w14:ligatures w14:val="none"/>
              </w:rPr>
            </w:pPr>
          </w:p>
        </w:tc>
        <w:tc>
          <w:tcPr>
            <w:tcW w:w="900" w:type="dxa"/>
            <w:tcBorders>
              <w:top w:val="nil"/>
              <w:left w:val="nil"/>
              <w:bottom w:val="double" w:sz="4" w:space="0" w:color="auto"/>
              <w:right w:val="nil"/>
            </w:tcBorders>
            <w:noWrap/>
            <w:vAlign w:val="bottom"/>
            <w:hideMark/>
          </w:tcPr>
          <w:p w14:paraId="3A3E5894"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100000</w:t>
            </w:r>
          </w:p>
        </w:tc>
        <w:tc>
          <w:tcPr>
            <w:tcW w:w="270" w:type="dxa"/>
            <w:tcBorders>
              <w:top w:val="nil"/>
              <w:left w:val="nil"/>
              <w:bottom w:val="nil"/>
              <w:right w:val="nil"/>
            </w:tcBorders>
            <w:noWrap/>
            <w:vAlign w:val="bottom"/>
            <w:hideMark/>
          </w:tcPr>
          <w:p w14:paraId="04D8F56B"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124BC092" w14:textId="46216981"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Pro</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rata value of program contribution : future Lean / 6σ opportunities</w:t>
            </w:r>
          </w:p>
        </w:tc>
      </w:tr>
      <w:tr w:rsidR="00413C4B" w:rsidRPr="00413C4B" w14:paraId="6AC24F2C" w14:textId="77777777" w:rsidTr="00413C4B">
        <w:trPr>
          <w:gridAfter w:val="1"/>
          <w:wAfter w:w="2060" w:type="dxa"/>
          <w:trHeight w:val="300"/>
        </w:trPr>
        <w:tc>
          <w:tcPr>
            <w:tcW w:w="3420" w:type="dxa"/>
            <w:tcBorders>
              <w:top w:val="double" w:sz="4" w:space="0" w:color="auto"/>
              <w:left w:val="nil"/>
              <w:bottom w:val="nil"/>
              <w:right w:val="nil"/>
            </w:tcBorders>
            <w:noWrap/>
            <w:vAlign w:val="bottom"/>
            <w:hideMark/>
          </w:tcPr>
          <w:p w14:paraId="09FB8AC8" w14:textId="0A0651A3"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Annual Cap</w:t>
            </w:r>
            <w:r>
              <w:rPr>
                <w:rFonts w:ascii="Aptos Narrow" w:eastAsia="Times New Roman" w:hAnsi="Aptos Narrow" w:cs="Times New Roman"/>
                <w:color w:val="000000"/>
                <w:kern w:val="0"/>
                <w:sz w:val="20"/>
                <w:szCs w:val="20"/>
                <w14:ligatures w14:val="none"/>
              </w:rPr>
              <w:t xml:space="preserve"> </w:t>
            </w:r>
            <w:r w:rsidRPr="00413C4B">
              <w:rPr>
                <w:rFonts w:ascii="Aptos Narrow" w:eastAsia="Times New Roman" w:hAnsi="Aptos Narrow" w:cs="Times New Roman"/>
                <w:color w:val="000000"/>
                <w:kern w:val="0"/>
                <w:sz w:val="20"/>
                <w:szCs w:val="20"/>
                <w14:ligatures w14:val="none"/>
              </w:rPr>
              <w:t>Ex Conversion</w:t>
            </w:r>
          </w:p>
        </w:tc>
        <w:tc>
          <w:tcPr>
            <w:tcW w:w="270" w:type="dxa"/>
            <w:tcBorders>
              <w:top w:val="double" w:sz="4" w:space="0" w:color="auto"/>
              <w:left w:val="nil"/>
              <w:bottom w:val="nil"/>
              <w:right w:val="nil"/>
            </w:tcBorders>
            <w:noWrap/>
            <w:vAlign w:val="bottom"/>
            <w:hideMark/>
          </w:tcPr>
          <w:p w14:paraId="1207D973" w14:textId="77777777" w:rsidR="00413C4B" w:rsidRPr="00413C4B" w:rsidRDefault="00413C4B" w:rsidP="00413C4B">
            <w:pPr>
              <w:spacing w:after="0" w:line="240" w:lineRule="auto"/>
              <w:rPr>
                <w:rFonts w:ascii="Aptos Narrow" w:eastAsia="Times New Roman" w:hAnsi="Aptos Narrow" w:cs="Times New Roman"/>
                <w:color w:val="000000"/>
                <w:kern w:val="0"/>
                <w:sz w:val="20"/>
                <w:szCs w:val="20"/>
                <w14:ligatures w14:val="none"/>
              </w:rPr>
            </w:pPr>
          </w:p>
        </w:tc>
        <w:tc>
          <w:tcPr>
            <w:tcW w:w="900" w:type="dxa"/>
            <w:tcBorders>
              <w:top w:val="double" w:sz="4" w:space="0" w:color="auto"/>
              <w:left w:val="nil"/>
              <w:bottom w:val="nil"/>
              <w:right w:val="nil"/>
            </w:tcBorders>
            <w:noWrap/>
            <w:vAlign w:val="bottom"/>
            <w:hideMark/>
          </w:tcPr>
          <w:p w14:paraId="522DCC7F"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r w:rsidRPr="00413C4B">
              <w:rPr>
                <w:rFonts w:ascii="Aptos Narrow" w:eastAsia="Times New Roman" w:hAnsi="Aptos Narrow" w:cs="Times New Roman"/>
                <w:color w:val="000000"/>
                <w:kern w:val="0"/>
                <w:sz w:val="20"/>
                <w:szCs w:val="20"/>
                <w14:ligatures w14:val="none"/>
              </w:rPr>
              <w:t>625000</w:t>
            </w:r>
          </w:p>
        </w:tc>
        <w:tc>
          <w:tcPr>
            <w:tcW w:w="270" w:type="dxa"/>
            <w:tcBorders>
              <w:top w:val="nil"/>
              <w:left w:val="nil"/>
              <w:bottom w:val="nil"/>
              <w:right w:val="nil"/>
            </w:tcBorders>
            <w:noWrap/>
            <w:vAlign w:val="bottom"/>
            <w:hideMark/>
          </w:tcPr>
          <w:p w14:paraId="420AF50F" w14:textId="77777777" w:rsidR="00413C4B" w:rsidRPr="00413C4B" w:rsidRDefault="00413C4B" w:rsidP="00413C4B">
            <w:pPr>
              <w:spacing w:after="0" w:line="240" w:lineRule="auto"/>
              <w:jc w:val="right"/>
              <w:rPr>
                <w:rFonts w:ascii="Aptos Narrow" w:eastAsia="Times New Roman" w:hAnsi="Aptos Narrow" w:cs="Times New Roman"/>
                <w:color w:val="000000"/>
                <w:kern w:val="0"/>
                <w:sz w:val="20"/>
                <w:szCs w:val="20"/>
                <w14:ligatures w14:val="none"/>
              </w:rPr>
            </w:pPr>
          </w:p>
        </w:tc>
        <w:tc>
          <w:tcPr>
            <w:tcW w:w="5760" w:type="dxa"/>
            <w:tcBorders>
              <w:top w:val="nil"/>
              <w:left w:val="nil"/>
              <w:bottom w:val="nil"/>
              <w:right w:val="nil"/>
            </w:tcBorders>
            <w:vAlign w:val="bottom"/>
            <w:hideMark/>
          </w:tcPr>
          <w:p w14:paraId="396820E2" w14:textId="77777777" w:rsidR="00413C4B" w:rsidRPr="00413C4B" w:rsidRDefault="00413C4B" w:rsidP="00413C4B">
            <w:pPr>
              <w:spacing w:after="0" w:line="240" w:lineRule="auto"/>
              <w:rPr>
                <w:rFonts w:ascii="Times New Roman" w:eastAsia="Times New Roman" w:hAnsi="Times New Roman" w:cs="Times New Roman"/>
                <w:kern w:val="0"/>
                <w:sz w:val="20"/>
                <w:szCs w:val="20"/>
                <w14:ligatures w14:val="none"/>
              </w:rPr>
            </w:pPr>
          </w:p>
        </w:tc>
      </w:tr>
    </w:tbl>
    <w:p w14:paraId="1EFE2875" w14:textId="77777777" w:rsidR="00B951AE" w:rsidRDefault="00B951AE">
      <w:pPr>
        <w:rPr>
          <w:sz w:val="20"/>
          <w:szCs w:val="20"/>
        </w:rPr>
      </w:pPr>
      <w:r>
        <w:rPr>
          <w:sz w:val="20"/>
          <w:szCs w:val="20"/>
        </w:rPr>
        <w:br w:type="page"/>
      </w:r>
    </w:p>
    <w:p w14:paraId="5D1E54B6" w14:textId="2A4D2C94" w:rsidR="00413C4B" w:rsidRDefault="00B951AE" w:rsidP="00B951AE">
      <w:pPr>
        <w:pStyle w:val="Heading1"/>
      </w:pPr>
      <w:r>
        <w:lastRenderedPageBreak/>
        <w:t>Appendix 2: Case Studies</w:t>
      </w:r>
    </w:p>
    <w:p w14:paraId="7DA11EB5" w14:textId="77777777" w:rsidR="00B951AE" w:rsidRDefault="00B951AE" w:rsidP="003C6BE6">
      <w:pPr>
        <w:spacing w:line="264" w:lineRule="auto"/>
        <w:rPr>
          <w:sz w:val="20"/>
          <w:szCs w:val="20"/>
        </w:rPr>
      </w:pPr>
    </w:p>
    <w:p w14:paraId="2A5F7F4A" w14:textId="0B06CD70" w:rsidR="00B951AE" w:rsidRDefault="00B951AE" w:rsidP="003C6BE6">
      <w:pPr>
        <w:spacing w:line="264" w:lineRule="auto"/>
        <w:rPr>
          <w:sz w:val="20"/>
          <w:szCs w:val="20"/>
        </w:rPr>
      </w:pPr>
      <w:r>
        <w:rPr>
          <w:sz w:val="20"/>
          <w:szCs w:val="20"/>
        </w:rPr>
        <w:t>[WIP—placeholder]</w:t>
      </w:r>
    </w:p>
    <w:p w14:paraId="1F04025A" w14:textId="77777777" w:rsidR="00B951AE" w:rsidRDefault="00B951AE" w:rsidP="003C6BE6">
      <w:pPr>
        <w:spacing w:line="264" w:lineRule="auto"/>
        <w:rPr>
          <w:sz w:val="20"/>
          <w:szCs w:val="20"/>
        </w:rPr>
      </w:pPr>
      <w:r>
        <w:rPr>
          <w:sz w:val="20"/>
          <w:szCs w:val="20"/>
        </w:rPr>
        <w:br w:type="page"/>
      </w:r>
    </w:p>
    <w:p w14:paraId="77C99284" w14:textId="691549A7" w:rsidR="00B951AE" w:rsidRDefault="0025222F" w:rsidP="00D64CBF">
      <w:pPr>
        <w:pStyle w:val="Heading1"/>
      </w:pPr>
      <w:r w:rsidRPr="00795A05">
        <w:rPr>
          <w:b w:val="0"/>
          <w:bCs/>
          <w:noProof/>
          <w:sz w:val="20"/>
          <w:szCs w:val="20"/>
        </w:rPr>
        <w:lastRenderedPageBreak/>
        <w:drawing>
          <wp:anchor distT="0" distB="0" distL="114300" distR="114300" simplePos="0" relativeHeight="251658240" behindDoc="0" locked="0" layoutInCell="1" allowOverlap="1" wp14:anchorId="689D6DEE" wp14:editId="26B78D5D">
            <wp:simplePos x="0" y="0"/>
            <wp:positionH relativeFrom="margin">
              <wp:align>left</wp:align>
            </wp:positionH>
            <wp:positionV relativeFrom="paragraph">
              <wp:posOffset>274320</wp:posOffset>
            </wp:positionV>
            <wp:extent cx="4142232" cy="2523744"/>
            <wp:effectExtent l="0" t="0" r="0" b="0"/>
            <wp:wrapSquare wrapText="bothSides"/>
            <wp:docPr id="11598710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87107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2232" cy="2523744"/>
                    </a:xfrm>
                    <a:prstGeom prst="rect">
                      <a:avLst/>
                    </a:prstGeom>
                  </pic:spPr>
                </pic:pic>
              </a:graphicData>
            </a:graphic>
            <wp14:sizeRelH relativeFrom="margin">
              <wp14:pctWidth>0</wp14:pctWidth>
            </wp14:sizeRelH>
            <wp14:sizeRelV relativeFrom="margin">
              <wp14:pctHeight>0</wp14:pctHeight>
            </wp14:sizeRelV>
          </wp:anchor>
        </w:drawing>
      </w:r>
      <w:r w:rsidR="00B951AE">
        <w:t>Appendix 3: Architectural Summary</w:t>
      </w:r>
      <w:r w:rsidR="00F42790">
        <w:t xml:space="preserve"> (Platform)</w:t>
      </w:r>
    </w:p>
    <w:p w14:paraId="71AC46BB" w14:textId="60CDE4BB" w:rsidR="00420EF5" w:rsidRPr="0025222F" w:rsidRDefault="00420EF5" w:rsidP="0025222F">
      <w:pPr>
        <w:pStyle w:val="ListParagraph"/>
        <w:numPr>
          <w:ilvl w:val="0"/>
          <w:numId w:val="10"/>
        </w:numPr>
        <w:ind w:left="7110" w:hanging="270"/>
        <w:rPr>
          <w:sz w:val="20"/>
          <w:szCs w:val="20"/>
        </w:rPr>
      </w:pPr>
      <w:r w:rsidRPr="0025222F">
        <w:rPr>
          <w:sz w:val="20"/>
          <w:szCs w:val="20"/>
        </w:rPr>
        <w:t>Illustration is representational</w:t>
      </w:r>
      <w:r w:rsidR="0025222F" w:rsidRPr="0025222F">
        <w:rPr>
          <w:sz w:val="20"/>
          <w:szCs w:val="20"/>
        </w:rPr>
        <w:t>-only</w:t>
      </w:r>
      <w:r w:rsidRPr="0025222F">
        <w:rPr>
          <w:sz w:val="20"/>
          <w:szCs w:val="20"/>
        </w:rPr>
        <w:t>.</w:t>
      </w:r>
    </w:p>
    <w:p w14:paraId="64BCBDAC" w14:textId="0F588DB6" w:rsidR="00D64CBF" w:rsidRDefault="00420EF5" w:rsidP="0025222F">
      <w:pPr>
        <w:pStyle w:val="ListParagraph"/>
        <w:numPr>
          <w:ilvl w:val="0"/>
          <w:numId w:val="10"/>
        </w:numPr>
        <w:ind w:left="7110" w:hanging="270"/>
        <w:rPr>
          <w:sz w:val="20"/>
          <w:szCs w:val="20"/>
        </w:rPr>
      </w:pPr>
      <w:r w:rsidRPr="00795A05">
        <w:rPr>
          <w:sz w:val="20"/>
          <w:szCs w:val="20"/>
        </w:rPr>
        <w:t>Segregating Portal access and Chewy TM access allows clear separation of access scopes while maintaining synchronization to single-source data.</w:t>
      </w:r>
    </w:p>
    <w:p w14:paraId="6CB902DF" w14:textId="77777777" w:rsidR="0025222F" w:rsidRDefault="0025222F" w:rsidP="0025222F">
      <w:pPr>
        <w:rPr>
          <w:sz w:val="20"/>
          <w:szCs w:val="20"/>
        </w:rPr>
      </w:pPr>
    </w:p>
    <w:p w14:paraId="2EA052E5" w14:textId="77777777" w:rsidR="0025222F" w:rsidRDefault="0025222F" w:rsidP="0025222F">
      <w:pPr>
        <w:rPr>
          <w:sz w:val="20"/>
          <w:szCs w:val="20"/>
        </w:rPr>
      </w:pPr>
    </w:p>
    <w:p w14:paraId="11168645" w14:textId="77777777" w:rsidR="0025222F" w:rsidRDefault="0025222F" w:rsidP="0025222F">
      <w:pPr>
        <w:rPr>
          <w:sz w:val="20"/>
          <w:szCs w:val="20"/>
        </w:rPr>
      </w:pPr>
    </w:p>
    <w:p w14:paraId="52E765B7" w14:textId="77777777" w:rsidR="0025222F" w:rsidRDefault="0025222F" w:rsidP="0025222F">
      <w:pPr>
        <w:rPr>
          <w:sz w:val="20"/>
          <w:szCs w:val="20"/>
        </w:rPr>
      </w:pPr>
    </w:p>
    <w:p w14:paraId="40A9D230" w14:textId="77777777" w:rsidR="0025222F" w:rsidRDefault="0025222F" w:rsidP="0025222F">
      <w:pPr>
        <w:rPr>
          <w:sz w:val="20"/>
          <w:szCs w:val="20"/>
        </w:rPr>
      </w:pPr>
    </w:p>
    <w:p w14:paraId="0A3B83A4" w14:textId="77777777" w:rsidR="0025222F" w:rsidRPr="0025222F" w:rsidRDefault="0025222F" w:rsidP="0025222F">
      <w:pPr>
        <w:rPr>
          <w:sz w:val="20"/>
          <w:szCs w:val="20"/>
        </w:rPr>
      </w:pPr>
    </w:p>
    <w:p w14:paraId="3D8280C6" w14:textId="4AFB0F99" w:rsidR="00D64CBF" w:rsidRDefault="00D64CBF" w:rsidP="00D64CBF">
      <w:pPr>
        <w:pStyle w:val="Heading1"/>
      </w:pPr>
      <w:r w:rsidRPr="00D64CBF">
        <w:t xml:space="preserve">Appendix </w:t>
      </w:r>
      <w:r>
        <w:t>4: Implementation Plan</w:t>
      </w:r>
    </w:p>
    <w:p w14:paraId="24B789B9" w14:textId="21298910" w:rsidR="004E7DFD" w:rsidRDefault="004E7DFD" w:rsidP="0025222F">
      <w:pPr>
        <w:spacing w:before="120" w:after="120" w:line="240" w:lineRule="auto"/>
        <w:rPr>
          <w:sz w:val="20"/>
          <w:szCs w:val="20"/>
        </w:rPr>
      </w:pPr>
      <w:r>
        <w:rPr>
          <w:b/>
          <w:bCs/>
          <w:sz w:val="20"/>
          <w:szCs w:val="20"/>
        </w:rPr>
        <w:br/>
        <w:t xml:space="preserve">Build &amp; </w:t>
      </w:r>
      <w:r w:rsidRPr="004E7DFD">
        <w:rPr>
          <w:b/>
          <w:bCs/>
          <w:sz w:val="20"/>
          <w:szCs w:val="20"/>
        </w:rPr>
        <w:t>Rollout Strategy</w:t>
      </w:r>
      <w:r w:rsidR="00CB70C8">
        <w:rPr>
          <w:b/>
          <w:bCs/>
          <w:sz w:val="20"/>
          <w:szCs w:val="20"/>
        </w:rPr>
        <w:t>:</w:t>
      </w:r>
    </w:p>
    <w:p w14:paraId="62283688" w14:textId="10F1BB9F" w:rsidR="004E7DFD" w:rsidRPr="004E7DFD" w:rsidRDefault="004E7DFD" w:rsidP="0025222F">
      <w:pPr>
        <w:spacing w:before="120" w:after="0" w:line="240" w:lineRule="auto"/>
        <w:rPr>
          <w:sz w:val="20"/>
          <w:szCs w:val="20"/>
        </w:rPr>
      </w:pPr>
      <w:r w:rsidRPr="004E7DFD">
        <w:rPr>
          <w:sz w:val="20"/>
          <w:szCs w:val="20"/>
        </w:rPr>
        <w:t xml:space="preserve">The rollout will follow a </w:t>
      </w:r>
      <w:r w:rsidRPr="004E7DFD">
        <w:rPr>
          <w:b/>
          <w:bCs/>
          <w:sz w:val="20"/>
          <w:szCs w:val="20"/>
        </w:rPr>
        <w:t>phased approach</w:t>
      </w:r>
      <w:r w:rsidRPr="004E7DFD">
        <w:rPr>
          <w:sz w:val="20"/>
          <w:szCs w:val="20"/>
        </w:rPr>
        <w:t xml:space="preserve"> that balances speed with control.</w:t>
      </w:r>
    </w:p>
    <w:p w14:paraId="3BC0E3A9" w14:textId="59C214E3" w:rsidR="004E7DFD" w:rsidRPr="004E7DFD" w:rsidRDefault="004E7DFD" w:rsidP="0025222F">
      <w:pPr>
        <w:numPr>
          <w:ilvl w:val="0"/>
          <w:numId w:val="3"/>
        </w:numPr>
        <w:spacing w:after="0" w:line="240" w:lineRule="auto"/>
        <w:ind w:left="180" w:hanging="180"/>
        <w:rPr>
          <w:sz w:val="20"/>
          <w:szCs w:val="20"/>
        </w:rPr>
      </w:pPr>
      <w:r w:rsidRPr="004E7DFD">
        <w:rPr>
          <w:b/>
          <w:bCs/>
          <w:sz w:val="20"/>
          <w:szCs w:val="20"/>
        </w:rPr>
        <w:t>Phase 1</w:t>
      </w:r>
      <w:r w:rsidRPr="004E7DFD">
        <w:rPr>
          <w:sz w:val="20"/>
          <w:szCs w:val="20"/>
        </w:rPr>
        <w:t xml:space="preserve"> establish</w:t>
      </w:r>
      <w:r>
        <w:rPr>
          <w:sz w:val="20"/>
          <w:szCs w:val="20"/>
        </w:rPr>
        <w:t>es</w:t>
      </w:r>
      <w:r w:rsidRPr="004E7DFD">
        <w:rPr>
          <w:sz w:val="20"/>
          <w:szCs w:val="20"/>
        </w:rPr>
        <w:t xml:space="preserve"> the </w:t>
      </w:r>
      <w:r w:rsidRPr="004E7DFD">
        <w:rPr>
          <w:b/>
          <w:bCs/>
          <w:sz w:val="20"/>
          <w:szCs w:val="20"/>
        </w:rPr>
        <w:t>data platform foundation</w:t>
      </w:r>
      <w:r w:rsidRPr="004E7DFD">
        <w:rPr>
          <w:sz w:val="20"/>
          <w:szCs w:val="20"/>
        </w:rPr>
        <w:t xml:space="preserve"> in Snowflake and deliver internal tools for In-Stock and B.I. teams.</w:t>
      </w:r>
    </w:p>
    <w:p w14:paraId="0C028E04" w14:textId="5C3C7E04" w:rsidR="004E7DFD" w:rsidRDefault="004E7DFD" w:rsidP="0025222F">
      <w:pPr>
        <w:numPr>
          <w:ilvl w:val="0"/>
          <w:numId w:val="3"/>
        </w:numPr>
        <w:spacing w:after="0" w:line="240" w:lineRule="auto"/>
        <w:ind w:left="180" w:hanging="180"/>
        <w:rPr>
          <w:sz w:val="20"/>
          <w:szCs w:val="20"/>
        </w:rPr>
      </w:pPr>
      <w:r w:rsidRPr="004E7DFD">
        <w:rPr>
          <w:b/>
          <w:bCs/>
          <w:sz w:val="20"/>
          <w:szCs w:val="20"/>
        </w:rPr>
        <w:t>Phase 2</w:t>
      </w:r>
      <w:r w:rsidRPr="004E7DFD">
        <w:rPr>
          <w:sz w:val="20"/>
          <w:szCs w:val="20"/>
        </w:rPr>
        <w:t xml:space="preserve"> will extend capabilit</w:t>
      </w:r>
      <w:r>
        <w:rPr>
          <w:sz w:val="20"/>
          <w:szCs w:val="20"/>
        </w:rPr>
        <w:t>ies</w:t>
      </w:r>
      <w:r w:rsidRPr="004E7DFD">
        <w:rPr>
          <w:sz w:val="20"/>
          <w:szCs w:val="20"/>
        </w:rPr>
        <w:t xml:space="preserve"> to the </w:t>
      </w:r>
      <w:r w:rsidRPr="004E7DFD">
        <w:rPr>
          <w:b/>
          <w:bCs/>
          <w:sz w:val="20"/>
          <w:szCs w:val="20"/>
        </w:rPr>
        <w:t>CPFR Vendor Portal</w:t>
      </w:r>
      <w:r w:rsidRPr="004E7DFD">
        <w:rPr>
          <w:sz w:val="20"/>
          <w:szCs w:val="20"/>
        </w:rPr>
        <w:t xml:space="preserve"> within Chewy Partner Hub (CPH), enabling secure vendor access and self-service.</w:t>
      </w:r>
    </w:p>
    <w:p w14:paraId="71EAA594" w14:textId="032CCCEE" w:rsidR="004E7DFD" w:rsidRPr="004E7DFD" w:rsidRDefault="004E7DFD" w:rsidP="0025222F">
      <w:pPr>
        <w:spacing w:before="120" w:after="120" w:line="240" w:lineRule="auto"/>
        <w:rPr>
          <w:sz w:val="20"/>
          <w:szCs w:val="20"/>
        </w:rPr>
      </w:pPr>
      <w:r w:rsidRPr="004E7DFD">
        <w:rPr>
          <w:sz w:val="20"/>
          <w:szCs w:val="20"/>
        </w:rPr>
        <w:t xml:space="preserve">While these phases are sequential, </w:t>
      </w:r>
      <w:r>
        <w:rPr>
          <w:sz w:val="20"/>
          <w:szCs w:val="20"/>
        </w:rPr>
        <w:t xml:space="preserve">a degree of </w:t>
      </w:r>
      <w:r w:rsidRPr="004E7DFD">
        <w:rPr>
          <w:sz w:val="20"/>
          <w:szCs w:val="20"/>
        </w:rPr>
        <w:t xml:space="preserve">overlap between late-stage Phase 1 and early-stage Phase 2 is expected and </w:t>
      </w:r>
      <w:r>
        <w:rPr>
          <w:sz w:val="20"/>
          <w:szCs w:val="20"/>
        </w:rPr>
        <w:t>even desirable</w:t>
      </w:r>
      <w:r w:rsidRPr="004E7DFD">
        <w:rPr>
          <w:sz w:val="20"/>
          <w:szCs w:val="20"/>
        </w:rPr>
        <w:t>. This approach minimizes disruption and allows technical, training, and communication activities to proceed in parallel as readiness milestones are met.</w:t>
      </w:r>
    </w:p>
    <w:p w14:paraId="51DF2124" w14:textId="77777777" w:rsidR="004E7DFD" w:rsidRPr="004E7DFD" w:rsidRDefault="004E7DFD" w:rsidP="0025222F">
      <w:pPr>
        <w:spacing w:before="120" w:after="0" w:line="240" w:lineRule="auto"/>
        <w:rPr>
          <w:sz w:val="20"/>
          <w:szCs w:val="20"/>
        </w:rPr>
      </w:pPr>
      <w:r w:rsidRPr="004E7DFD">
        <w:rPr>
          <w:sz w:val="20"/>
          <w:szCs w:val="20"/>
        </w:rPr>
        <w:t>Additional measures to ensure a smooth transition:</w:t>
      </w:r>
    </w:p>
    <w:p w14:paraId="78073E03" w14:textId="77777777" w:rsidR="004E7DFD" w:rsidRPr="0025222F" w:rsidRDefault="004E7DFD" w:rsidP="0025222F">
      <w:pPr>
        <w:numPr>
          <w:ilvl w:val="0"/>
          <w:numId w:val="3"/>
        </w:numPr>
        <w:spacing w:after="0" w:line="240" w:lineRule="auto"/>
        <w:ind w:left="180" w:hanging="180"/>
        <w:rPr>
          <w:sz w:val="20"/>
          <w:szCs w:val="20"/>
        </w:rPr>
      </w:pPr>
      <w:r w:rsidRPr="0025222F">
        <w:rPr>
          <w:sz w:val="20"/>
          <w:szCs w:val="20"/>
        </w:rPr>
        <w:t>In-Stock staff will receive pre-release training and reference documentation prior to portal enablement.</w:t>
      </w:r>
    </w:p>
    <w:p w14:paraId="48E2F46C" w14:textId="76B72156" w:rsidR="004E7DFD" w:rsidRPr="0025222F" w:rsidRDefault="004E7DFD" w:rsidP="0025222F">
      <w:pPr>
        <w:numPr>
          <w:ilvl w:val="0"/>
          <w:numId w:val="3"/>
        </w:numPr>
        <w:spacing w:after="0" w:line="240" w:lineRule="auto"/>
        <w:ind w:left="180" w:hanging="180"/>
        <w:rPr>
          <w:sz w:val="20"/>
          <w:szCs w:val="20"/>
        </w:rPr>
      </w:pPr>
      <w:r w:rsidRPr="0025222F">
        <w:rPr>
          <w:sz w:val="20"/>
          <w:szCs w:val="20"/>
        </w:rPr>
        <w:t>Early rollout will focus on a smaller initial vendor group</w:t>
      </w:r>
      <w:r w:rsidR="00CB70C8" w:rsidRPr="0025222F">
        <w:rPr>
          <w:sz w:val="20"/>
          <w:szCs w:val="20"/>
        </w:rPr>
        <w:t xml:space="preserve"> (e.g. Tier 1 vendors followed by Tier 2, etc.)</w:t>
      </w:r>
      <w:r w:rsidRPr="0025222F">
        <w:rPr>
          <w:sz w:val="20"/>
          <w:szCs w:val="20"/>
        </w:rPr>
        <w:t>, allowing Chewy to validate workflows and resolve any early issues before broad release.</w:t>
      </w:r>
    </w:p>
    <w:p w14:paraId="45C7AC79" w14:textId="77777777" w:rsidR="004E7DFD" w:rsidRPr="0025222F" w:rsidRDefault="004E7DFD" w:rsidP="0025222F">
      <w:pPr>
        <w:numPr>
          <w:ilvl w:val="0"/>
          <w:numId w:val="3"/>
        </w:numPr>
        <w:spacing w:after="0" w:line="240" w:lineRule="auto"/>
        <w:ind w:left="180" w:hanging="180"/>
        <w:rPr>
          <w:sz w:val="20"/>
          <w:szCs w:val="20"/>
        </w:rPr>
      </w:pPr>
      <w:r w:rsidRPr="0025222F">
        <w:rPr>
          <w:sz w:val="20"/>
          <w:szCs w:val="20"/>
        </w:rPr>
        <w:t>Lessons learned from this initial onboarding will inform subsequent vendor activation waves.</w:t>
      </w:r>
    </w:p>
    <w:p w14:paraId="185C28AB" w14:textId="2E1B97B6" w:rsidR="004E7DFD" w:rsidRPr="004E7DFD" w:rsidRDefault="004E7DFD" w:rsidP="0025222F">
      <w:pPr>
        <w:spacing w:before="120" w:after="120" w:line="240" w:lineRule="auto"/>
        <w:rPr>
          <w:b/>
          <w:bCs/>
          <w:sz w:val="20"/>
          <w:szCs w:val="20"/>
        </w:rPr>
      </w:pPr>
      <w:r w:rsidRPr="004E7DFD">
        <w:rPr>
          <w:b/>
          <w:bCs/>
          <w:sz w:val="20"/>
          <w:szCs w:val="20"/>
        </w:rPr>
        <w:t>Communication Strategy</w:t>
      </w:r>
      <w:r w:rsidR="00CB70C8">
        <w:rPr>
          <w:b/>
          <w:bCs/>
          <w:sz w:val="20"/>
          <w:szCs w:val="20"/>
        </w:rPr>
        <w:t>:</w:t>
      </w:r>
    </w:p>
    <w:p w14:paraId="2290F35A" w14:textId="77777777" w:rsidR="004E7DFD" w:rsidRPr="004E7DFD" w:rsidRDefault="004E7DFD" w:rsidP="0025222F">
      <w:pPr>
        <w:spacing w:before="120" w:after="0" w:line="240" w:lineRule="auto"/>
        <w:rPr>
          <w:sz w:val="20"/>
          <w:szCs w:val="20"/>
        </w:rPr>
      </w:pPr>
      <w:r w:rsidRPr="004E7DFD">
        <w:rPr>
          <w:sz w:val="20"/>
          <w:szCs w:val="20"/>
        </w:rPr>
        <w:t>Throughout build and rollout, progress and reference materials will be tracked in a shared collaboration space (e.g., Confluence). Communication to internal and external users will be staged to align with the two primary phases:</w:t>
      </w:r>
    </w:p>
    <w:p w14:paraId="2DD48542" w14:textId="7D47AA16" w:rsidR="004E7DFD" w:rsidRPr="004E7DFD" w:rsidRDefault="004E7DFD" w:rsidP="0025222F">
      <w:pPr>
        <w:numPr>
          <w:ilvl w:val="0"/>
          <w:numId w:val="3"/>
        </w:numPr>
        <w:spacing w:after="0" w:line="240" w:lineRule="auto"/>
        <w:ind w:left="180" w:hanging="180"/>
        <w:rPr>
          <w:sz w:val="20"/>
          <w:szCs w:val="20"/>
        </w:rPr>
      </w:pPr>
      <w:r w:rsidRPr="0025222F">
        <w:rPr>
          <w:sz w:val="20"/>
          <w:szCs w:val="20"/>
        </w:rPr>
        <w:t>Pre-launch notifications:</w:t>
      </w:r>
      <w:r w:rsidRPr="004E7DFD">
        <w:rPr>
          <w:sz w:val="20"/>
          <w:szCs w:val="20"/>
        </w:rPr>
        <w:t xml:space="preserve"> sent 30 days prior to each rollout milestone, specifying go-live timing and hypercare period.</w:t>
      </w:r>
    </w:p>
    <w:p w14:paraId="4D090C58" w14:textId="77777777" w:rsidR="004E7DFD" w:rsidRPr="004E7DFD" w:rsidRDefault="004E7DFD" w:rsidP="0025222F">
      <w:pPr>
        <w:numPr>
          <w:ilvl w:val="0"/>
          <w:numId w:val="3"/>
        </w:numPr>
        <w:spacing w:after="0" w:line="240" w:lineRule="auto"/>
        <w:ind w:left="180" w:hanging="180"/>
        <w:rPr>
          <w:sz w:val="20"/>
          <w:szCs w:val="20"/>
        </w:rPr>
      </w:pPr>
      <w:r w:rsidRPr="0025222F">
        <w:rPr>
          <w:sz w:val="20"/>
          <w:szCs w:val="20"/>
        </w:rPr>
        <w:t>Orientation sessions:</w:t>
      </w:r>
      <w:r w:rsidRPr="004E7DFD">
        <w:rPr>
          <w:sz w:val="20"/>
          <w:szCs w:val="20"/>
        </w:rPr>
        <w:t xml:space="preserve"> offered for internal users and early vendor adopters during the hypercare window (≈ 30 days post-launch). Additional sessions may be added based on adoption needs.</w:t>
      </w:r>
    </w:p>
    <w:p w14:paraId="6F2B5DDD" w14:textId="01325F6C" w:rsidR="004E7DFD" w:rsidRPr="004E7DFD" w:rsidRDefault="004E7DFD" w:rsidP="0025222F">
      <w:pPr>
        <w:numPr>
          <w:ilvl w:val="0"/>
          <w:numId w:val="3"/>
        </w:numPr>
        <w:spacing w:after="0" w:line="240" w:lineRule="auto"/>
        <w:ind w:left="180" w:hanging="180"/>
        <w:rPr>
          <w:sz w:val="20"/>
          <w:szCs w:val="20"/>
        </w:rPr>
      </w:pPr>
      <w:r w:rsidRPr="0025222F">
        <w:rPr>
          <w:sz w:val="20"/>
          <w:szCs w:val="20"/>
        </w:rPr>
        <w:t>Awareness updates:</w:t>
      </w:r>
      <w:r w:rsidRPr="004E7DFD">
        <w:rPr>
          <w:sz w:val="20"/>
          <w:szCs w:val="20"/>
        </w:rPr>
        <w:t xml:space="preserve"> periodic “coming soon” highlights during development to prepare teams for upcoming functionality.</w:t>
      </w:r>
    </w:p>
    <w:p w14:paraId="005A76FF" w14:textId="036CD8A8" w:rsidR="004E7DFD" w:rsidRPr="004E7DFD" w:rsidRDefault="004E7DFD" w:rsidP="0025222F">
      <w:pPr>
        <w:spacing w:before="120" w:after="120" w:line="240" w:lineRule="auto"/>
        <w:rPr>
          <w:b/>
          <w:bCs/>
          <w:sz w:val="20"/>
          <w:szCs w:val="20"/>
        </w:rPr>
      </w:pPr>
      <w:r w:rsidRPr="004E7DFD">
        <w:rPr>
          <w:b/>
          <w:bCs/>
          <w:sz w:val="20"/>
          <w:szCs w:val="20"/>
        </w:rPr>
        <w:t>Hypercare</w:t>
      </w:r>
      <w:r w:rsidR="00CB70C8">
        <w:rPr>
          <w:b/>
          <w:bCs/>
          <w:sz w:val="20"/>
          <w:szCs w:val="20"/>
        </w:rPr>
        <w:t>:</w:t>
      </w:r>
    </w:p>
    <w:p w14:paraId="2993BB3A" w14:textId="2D438402" w:rsidR="004E7DFD" w:rsidRPr="004E7DFD" w:rsidRDefault="004E7DFD" w:rsidP="0025222F">
      <w:pPr>
        <w:spacing w:before="120" w:after="0" w:line="240" w:lineRule="auto"/>
        <w:rPr>
          <w:sz w:val="20"/>
          <w:szCs w:val="20"/>
        </w:rPr>
      </w:pPr>
      <w:r w:rsidRPr="004E7DFD">
        <w:rPr>
          <w:sz w:val="20"/>
          <w:szCs w:val="20"/>
        </w:rPr>
        <w:t>A defined period of elevated service attention will follow each rollout milestone to ensure stable adoption</w:t>
      </w:r>
      <w:r w:rsidR="0025222F">
        <w:rPr>
          <w:sz w:val="20"/>
          <w:szCs w:val="20"/>
        </w:rPr>
        <w:t>:</w:t>
      </w:r>
    </w:p>
    <w:p w14:paraId="23826874" w14:textId="77777777" w:rsidR="004E7DFD" w:rsidRPr="004E7DFD" w:rsidRDefault="004E7DFD" w:rsidP="0025222F">
      <w:pPr>
        <w:numPr>
          <w:ilvl w:val="0"/>
          <w:numId w:val="3"/>
        </w:numPr>
        <w:spacing w:after="0" w:line="240" w:lineRule="auto"/>
        <w:ind w:left="180" w:hanging="180"/>
        <w:rPr>
          <w:sz w:val="20"/>
          <w:szCs w:val="20"/>
        </w:rPr>
      </w:pPr>
      <w:r w:rsidRPr="004E7DFD">
        <w:rPr>
          <w:sz w:val="20"/>
          <w:szCs w:val="20"/>
        </w:rPr>
        <w:t>Externally, hypercare maintains Chewy’s commitment to partnership by providing responsive support and encouraging early adoption success.</w:t>
      </w:r>
    </w:p>
    <w:p w14:paraId="5CEDFDD6" w14:textId="6CC91881" w:rsidR="004E7DFD" w:rsidRPr="004E7DFD" w:rsidRDefault="004E7DFD" w:rsidP="0025222F">
      <w:pPr>
        <w:numPr>
          <w:ilvl w:val="0"/>
          <w:numId w:val="3"/>
        </w:numPr>
        <w:spacing w:after="0" w:line="240" w:lineRule="auto"/>
        <w:ind w:left="180" w:hanging="180"/>
        <w:rPr>
          <w:sz w:val="20"/>
          <w:szCs w:val="20"/>
        </w:rPr>
      </w:pPr>
      <w:r w:rsidRPr="004E7DFD">
        <w:rPr>
          <w:sz w:val="20"/>
          <w:szCs w:val="20"/>
        </w:rPr>
        <w:t xml:space="preserve">Internally, it delivers fast feedback loops </w:t>
      </w:r>
      <w:r w:rsidR="0025222F">
        <w:rPr>
          <w:sz w:val="20"/>
          <w:szCs w:val="20"/>
        </w:rPr>
        <w:t>for</w:t>
      </w:r>
      <w:r w:rsidRPr="004E7DFD">
        <w:rPr>
          <w:sz w:val="20"/>
          <w:szCs w:val="20"/>
        </w:rPr>
        <w:t xml:space="preserve"> support and engineering teams to implement quick fixes and optimizations.</w:t>
      </w:r>
    </w:p>
    <w:p w14:paraId="125D10EB" w14:textId="79352A14" w:rsidR="004E7DFD" w:rsidRPr="004E7DFD" w:rsidRDefault="004E7DFD" w:rsidP="0025222F">
      <w:pPr>
        <w:spacing w:before="120" w:after="120" w:line="240" w:lineRule="auto"/>
        <w:rPr>
          <w:b/>
          <w:bCs/>
          <w:sz w:val="20"/>
          <w:szCs w:val="20"/>
        </w:rPr>
      </w:pPr>
      <w:r w:rsidRPr="004E7DFD">
        <w:rPr>
          <w:b/>
          <w:bCs/>
          <w:sz w:val="20"/>
          <w:szCs w:val="20"/>
        </w:rPr>
        <w:t>Email Backup</w:t>
      </w:r>
      <w:r w:rsidR="00CB70C8">
        <w:rPr>
          <w:b/>
          <w:bCs/>
          <w:sz w:val="20"/>
          <w:szCs w:val="20"/>
        </w:rPr>
        <w:t>:</w:t>
      </w:r>
    </w:p>
    <w:p w14:paraId="0C5FE981" w14:textId="7A150A78" w:rsidR="00D64CBF" w:rsidRPr="004E7DFD" w:rsidRDefault="004E7DFD" w:rsidP="0025222F">
      <w:pPr>
        <w:spacing w:after="0" w:line="240" w:lineRule="auto"/>
        <w:rPr>
          <w:sz w:val="20"/>
          <w:szCs w:val="20"/>
        </w:rPr>
      </w:pPr>
      <w:r w:rsidRPr="004E7DFD">
        <w:rPr>
          <w:sz w:val="20"/>
          <w:szCs w:val="20"/>
        </w:rPr>
        <w:t>A</w:t>
      </w:r>
      <w:r w:rsidR="00CB70C8">
        <w:rPr>
          <w:sz w:val="20"/>
          <w:szCs w:val="20"/>
        </w:rPr>
        <w:t>n</w:t>
      </w:r>
      <w:r w:rsidRPr="004E7DFD">
        <w:rPr>
          <w:sz w:val="20"/>
          <w:szCs w:val="20"/>
        </w:rPr>
        <w:t xml:space="preserve"> email feed</w:t>
      </w:r>
      <w:r>
        <w:rPr>
          <w:sz w:val="20"/>
          <w:szCs w:val="20"/>
        </w:rPr>
        <w:t xml:space="preserve"> capability </w:t>
      </w:r>
      <w:r w:rsidRPr="004E7DFD">
        <w:rPr>
          <w:sz w:val="20"/>
          <w:szCs w:val="20"/>
        </w:rPr>
        <w:t xml:space="preserve">will </w:t>
      </w:r>
      <w:r w:rsidR="00E83F50">
        <w:rPr>
          <w:sz w:val="20"/>
          <w:szCs w:val="20"/>
        </w:rPr>
        <w:t>be</w:t>
      </w:r>
      <w:r w:rsidRPr="004E7DFD">
        <w:rPr>
          <w:sz w:val="20"/>
          <w:szCs w:val="20"/>
        </w:rPr>
        <w:t xml:space="preserve"> available for vendors unable</w:t>
      </w:r>
      <w:r w:rsidR="00CB70C8">
        <w:rPr>
          <w:sz w:val="20"/>
          <w:szCs w:val="20"/>
        </w:rPr>
        <w:t xml:space="preserve"> or with inopportune access</w:t>
      </w:r>
      <w:r w:rsidRPr="004E7DFD">
        <w:rPr>
          <w:sz w:val="20"/>
          <w:szCs w:val="20"/>
        </w:rPr>
        <w:t xml:space="preserve"> to the portal</w:t>
      </w:r>
      <w:r>
        <w:rPr>
          <w:sz w:val="20"/>
          <w:szCs w:val="20"/>
        </w:rPr>
        <w:t>.</w:t>
      </w:r>
      <w:r w:rsidR="00CB70C8">
        <w:rPr>
          <w:sz w:val="20"/>
          <w:szCs w:val="20"/>
        </w:rPr>
        <w:t xml:space="preserve">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rollout, but will be gradually deactivated in favor of portal-based systems. </w:t>
      </w:r>
    </w:p>
    <w:sectPr w:rsidR="00D64CBF" w:rsidRPr="004E7DFD" w:rsidSect="003C6BE6">
      <w:headerReference w:type="even" r:id="rId9"/>
      <w:headerReference w:type="default" r:id="rId10"/>
      <w:footerReference w:type="even" r:id="rId11"/>
      <w:footerReference w:type="default" r:id="rId12"/>
      <w:headerReference w:type="first" r:id="rId13"/>
      <w:footerReference w:type="first" r:id="rId14"/>
      <w:pgSz w:w="12240" w:h="15840"/>
      <w:pgMar w:top="576" w:right="576" w:bottom="288" w:left="576" w:header="432" w:footer="432"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A189F" w14:textId="77777777" w:rsidR="00EB609A" w:rsidRDefault="00EB609A" w:rsidP="00AC1730">
      <w:pPr>
        <w:spacing w:after="0" w:line="240" w:lineRule="auto"/>
      </w:pPr>
      <w:r>
        <w:separator/>
      </w:r>
    </w:p>
  </w:endnote>
  <w:endnote w:type="continuationSeparator" w:id="0">
    <w:p w14:paraId="5F805544" w14:textId="77777777" w:rsidR="00EB609A" w:rsidRDefault="00EB609A" w:rsidP="00AC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288F2B6-8089-4D78-AA57-BD4ABE582E20}"/>
    <w:embedBold r:id="rId2" w:fontKey="{61A10935-A441-49DD-B073-FA95E86108B4}"/>
    <w:embedItalic r:id="rId3" w:fontKey="{8085A7D3-1C3D-4F55-A834-03B087510EAD}"/>
    <w:embedBoldItalic r:id="rId4" w:fontKey="{64C1508C-D2D1-4909-BEC2-463271BB2A4B}"/>
  </w:font>
  <w:font w:name="Aptos Display">
    <w:charset w:val="00"/>
    <w:family w:val="swiss"/>
    <w:pitch w:val="variable"/>
    <w:sig w:usb0="20000287" w:usb1="00000003" w:usb2="00000000" w:usb3="00000000" w:csb0="0000019F" w:csb1="00000000"/>
    <w:embedRegular r:id="rId5" w:fontKey="{742029C7-F386-4532-9F13-E61A2181C4DF}"/>
    <w:embedBold r:id="rId6" w:fontKey="{ECD801B6-DB3B-4F68-9A5B-C7980CF5FAE2}"/>
  </w:font>
  <w:font w:name="Aptos Narrow">
    <w:charset w:val="00"/>
    <w:family w:val="swiss"/>
    <w:pitch w:val="variable"/>
    <w:sig w:usb0="20000287" w:usb1="00000003" w:usb2="00000000" w:usb3="00000000" w:csb0="0000019F" w:csb1="00000000"/>
    <w:embedRegular r:id="rId7" w:fontKey="{8F9A6768-D4E7-4F1B-8F35-BA28CE49BA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1391" w14:textId="77777777" w:rsidR="00F6788A" w:rsidRDefault="00F678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7BF4" w14:textId="40C5694D" w:rsidR="00AC1730" w:rsidRPr="00D46C6F" w:rsidRDefault="00D46C6F" w:rsidP="00AC1730">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4DF2C5C1" wp14:editId="759960C4">
          <wp:extent cx="873905" cy="274320"/>
          <wp:effectExtent l="0" t="0" r="2540" b="0"/>
          <wp:docPr id="93604314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FAB7" w14:textId="283D7E53" w:rsidR="00D0092F" w:rsidRPr="00D46C6F" w:rsidRDefault="00D46C6F" w:rsidP="00D46C6F">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150D549F" wp14:editId="3B74192D">
          <wp:extent cx="873905" cy="274320"/>
          <wp:effectExtent l="0" t="0" r="2540" b="0"/>
          <wp:docPr id="91674501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ADB0B" w14:textId="77777777" w:rsidR="00EB609A" w:rsidRDefault="00EB609A" w:rsidP="00AC1730">
      <w:pPr>
        <w:spacing w:after="0" w:line="240" w:lineRule="auto"/>
      </w:pPr>
      <w:r>
        <w:separator/>
      </w:r>
    </w:p>
  </w:footnote>
  <w:footnote w:type="continuationSeparator" w:id="0">
    <w:p w14:paraId="7EDBE078" w14:textId="77777777" w:rsidR="00EB609A" w:rsidRDefault="00EB609A" w:rsidP="00AC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72B6" w14:textId="77777777" w:rsidR="00F6788A" w:rsidRDefault="00F67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782320"/>
      <w:docPartObj>
        <w:docPartGallery w:val="Watermarks"/>
        <w:docPartUnique/>
      </w:docPartObj>
    </w:sdtPr>
    <w:sdtEndPr/>
    <w:sdtContent>
      <w:p w14:paraId="30908B57" w14:textId="411467A2" w:rsidR="00D46C6F" w:rsidRDefault="00DD2D04" w:rsidP="00AC1730">
        <w:pPr>
          <w:pStyle w:val="Header"/>
          <w:tabs>
            <w:tab w:val="clear" w:pos="4680"/>
            <w:tab w:val="clear" w:pos="9360"/>
            <w:tab w:val="center" w:pos="5400"/>
            <w:tab w:val="right" w:pos="10800"/>
          </w:tabs>
        </w:pPr>
        <w:r>
          <w:rPr>
            <w:noProof/>
          </w:rPr>
          <w:pict w14:anchorId="623A96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441D" w14:textId="1095D571" w:rsidR="00D0092F" w:rsidRDefault="00D0092F" w:rsidP="00D46C6F">
    <w:pPr>
      <w:pStyle w:val="Header"/>
      <w:tabs>
        <w:tab w:val="clear" w:pos="4680"/>
        <w:tab w:val="clear" w:pos="9360"/>
        <w:tab w:val="center" w:pos="5400"/>
        <w:tab w:val="right" w:pos="1080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6D3E"/>
    <w:multiLevelType w:val="hybridMultilevel"/>
    <w:tmpl w:val="872E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CD7077"/>
    <w:multiLevelType w:val="hybridMultilevel"/>
    <w:tmpl w:val="BA94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A69AB"/>
    <w:multiLevelType w:val="hybridMultilevel"/>
    <w:tmpl w:val="DBE2FEB0"/>
    <w:lvl w:ilvl="0" w:tplc="EEF4C206">
      <w:numFmt w:val="bullet"/>
      <w:lvlText w:val=""/>
      <w:lvlJc w:val="left"/>
      <w:pPr>
        <w:ind w:left="806" w:hanging="360"/>
      </w:pPr>
      <w:rPr>
        <w:rFonts w:ascii="Symbol" w:eastAsiaTheme="minorHAnsi" w:hAnsi="Symbol" w:cstheme="minorBidi" w:hint="default"/>
        <w:i/>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 w15:restartNumberingAfterBreak="0">
    <w:nsid w:val="34D75E87"/>
    <w:multiLevelType w:val="hybridMultilevel"/>
    <w:tmpl w:val="5E72AB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449725DC"/>
    <w:multiLevelType w:val="hybridMultilevel"/>
    <w:tmpl w:val="F8069570"/>
    <w:lvl w:ilvl="0" w:tplc="4B64CE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E12E5C"/>
    <w:multiLevelType w:val="multilevel"/>
    <w:tmpl w:val="8A2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95660"/>
    <w:multiLevelType w:val="hybridMultilevel"/>
    <w:tmpl w:val="832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52714E"/>
    <w:multiLevelType w:val="multilevel"/>
    <w:tmpl w:val="063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E67C1"/>
    <w:multiLevelType w:val="multilevel"/>
    <w:tmpl w:val="606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43B0B"/>
    <w:multiLevelType w:val="multilevel"/>
    <w:tmpl w:val="A33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33EF9"/>
    <w:multiLevelType w:val="multilevel"/>
    <w:tmpl w:val="239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21213">
    <w:abstractNumId w:val="8"/>
  </w:num>
  <w:num w:numId="2" w16cid:durableId="918516870">
    <w:abstractNumId w:val="1"/>
  </w:num>
  <w:num w:numId="3" w16cid:durableId="1003901872">
    <w:abstractNumId w:val="10"/>
  </w:num>
  <w:num w:numId="4" w16cid:durableId="512036269">
    <w:abstractNumId w:val="7"/>
  </w:num>
  <w:num w:numId="5" w16cid:durableId="1038504400">
    <w:abstractNumId w:val="9"/>
  </w:num>
  <w:num w:numId="6" w16cid:durableId="297035316">
    <w:abstractNumId w:val="5"/>
  </w:num>
  <w:num w:numId="7" w16cid:durableId="1813789856">
    <w:abstractNumId w:val="2"/>
  </w:num>
  <w:num w:numId="8" w16cid:durableId="732124443">
    <w:abstractNumId w:val="4"/>
  </w:num>
  <w:num w:numId="9" w16cid:durableId="1373843556">
    <w:abstractNumId w:val="3"/>
  </w:num>
  <w:num w:numId="10" w16cid:durableId="1588921592">
    <w:abstractNumId w:val="6"/>
  </w:num>
  <w:num w:numId="11" w16cid:durableId="55970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9A"/>
    <w:rsid w:val="000D00FC"/>
    <w:rsid w:val="0017095A"/>
    <w:rsid w:val="001B19E3"/>
    <w:rsid w:val="001D50D0"/>
    <w:rsid w:val="001F6A50"/>
    <w:rsid w:val="00224B12"/>
    <w:rsid w:val="0025222F"/>
    <w:rsid w:val="002565C9"/>
    <w:rsid w:val="00356C52"/>
    <w:rsid w:val="00390734"/>
    <w:rsid w:val="003C2D00"/>
    <w:rsid w:val="003C2F5B"/>
    <w:rsid w:val="003C3269"/>
    <w:rsid w:val="003C6BE6"/>
    <w:rsid w:val="003E656D"/>
    <w:rsid w:val="004120ED"/>
    <w:rsid w:val="00413C4B"/>
    <w:rsid w:val="00420EF5"/>
    <w:rsid w:val="004933F5"/>
    <w:rsid w:val="004E258E"/>
    <w:rsid w:val="004E7DFD"/>
    <w:rsid w:val="005372A4"/>
    <w:rsid w:val="00542130"/>
    <w:rsid w:val="005733A5"/>
    <w:rsid w:val="00582A8E"/>
    <w:rsid w:val="00647AB9"/>
    <w:rsid w:val="006C78CF"/>
    <w:rsid w:val="006F56AC"/>
    <w:rsid w:val="00726A58"/>
    <w:rsid w:val="00774A6A"/>
    <w:rsid w:val="0078319C"/>
    <w:rsid w:val="00795A05"/>
    <w:rsid w:val="008208A0"/>
    <w:rsid w:val="008416BE"/>
    <w:rsid w:val="00907986"/>
    <w:rsid w:val="009206BA"/>
    <w:rsid w:val="009C24E5"/>
    <w:rsid w:val="00AC1403"/>
    <w:rsid w:val="00AC1730"/>
    <w:rsid w:val="00B110D7"/>
    <w:rsid w:val="00B4621D"/>
    <w:rsid w:val="00B951AE"/>
    <w:rsid w:val="00C94DBE"/>
    <w:rsid w:val="00CB70C8"/>
    <w:rsid w:val="00CC27F2"/>
    <w:rsid w:val="00D0092F"/>
    <w:rsid w:val="00D27282"/>
    <w:rsid w:val="00D46C6F"/>
    <w:rsid w:val="00D64CBF"/>
    <w:rsid w:val="00DD2D04"/>
    <w:rsid w:val="00E06490"/>
    <w:rsid w:val="00E64448"/>
    <w:rsid w:val="00E83F50"/>
    <w:rsid w:val="00EB609A"/>
    <w:rsid w:val="00F21C82"/>
    <w:rsid w:val="00F3243C"/>
    <w:rsid w:val="00F42790"/>
    <w:rsid w:val="00F456A9"/>
    <w:rsid w:val="00F6788A"/>
    <w:rsid w:val="00F755E2"/>
    <w:rsid w:val="00FB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1AB5"/>
  <w15:chartTrackingRefBased/>
  <w15:docId w15:val="{72AE96E1-076A-4739-849A-CB997029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92F"/>
  </w:style>
  <w:style w:type="paragraph" w:styleId="Heading1">
    <w:name w:val="heading 1"/>
    <w:basedOn w:val="Normal"/>
    <w:next w:val="Normal"/>
    <w:link w:val="Heading1Char"/>
    <w:uiPriority w:val="9"/>
    <w:qFormat/>
    <w:rsid w:val="00D0092F"/>
    <w:pPr>
      <w:keepNext/>
      <w:keepLines/>
      <w:pBdr>
        <w:top w:val="single" w:sz="12" w:space="1" w:color="0070C0"/>
      </w:pBdr>
      <w:spacing w:before="360" w:after="80"/>
      <w:outlineLvl w:val="0"/>
    </w:pPr>
    <w:rPr>
      <w:rFonts w:asciiTheme="majorHAnsi" w:eastAsiaTheme="majorEastAsia" w:hAnsiTheme="majorHAnsi" w:cstheme="majorBidi"/>
      <w:b/>
      <w:color w:val="0070C0"/>
      <w:sz w:val="22"/>
      <w:szCs w:val="40"/>
    </w:rPr>
  </w:style>
  <w:style w:type="paragraph" w:styleId="Heading2">
    <w:name w:val="heading 2"/>
    <w:basedOn w:val="Normal"/>
    <w:next w:val="Normal"/>
    <w:link w:val="Heading2Char"/>
    <w:uiPriority w:val="9"/>
    <w:semiHidden/>
    <w:unhideWhenUsed/>
    <w:qFormat/>
    <w:rsid w:val="00AC1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2F"/>
    <w:rPr>
      <w:rFonts w:asciiTheme="majorHAnsi" w:eastAsiaTheme="majorEastAsia" w:hAnsiTheme="majorHAnsi" w:cstheme="majorBidi"/>
      <w:b/>
      <w:color w:val="0070C0"/>
      <w:sz w:val="22"/>
      <w:szCs w:val="40"/>
    </w:rPr>
  </w:style>
  <w:style w:type="character" w:customStyle="1" w:styleId="Heading2Char">
    <w:name w:val="Heading 2 Char"/>
    <w:basedOn w:val="DefaultParagraphFont"/>
    <w:link w:val="Heading2"/>
    <w:uiPriority w:val="9"/>
    <w:semiHidden/>
    <w:rsid w:val="00AC1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30"/>
    <w:rPr>
      <w:rFonts w:eastAsiaTheme="majorEastAsia" w:cstheme="majorBidi"/>
      <w:color w:val="272727" w:themeColor="text1" w:themeTint="D8"/>
    </w:rPr>
  </w:style>
  <w:style w:type="paragraph" w:styleId="Title">
    <w:name w:val="Title"/>
    <w:basedOn w:val="Normal"/>
    <w:next w:val="Normal"/>
    <w:link w:val="TitleChar"/>
    <w:uiPriority w:val="10"/>
    <w:qFormat/>
    <w:rsid w:val="00A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C1730"/>
    <w:rPr>
      <w:i/>
      <w:iCs/>
      <w:color w:val="404040" w:themeColor="text1" w:themeTint="BF"/>
    </w:rPr>
  </w:style>
  <w:style w:type="paragraph" w:styleId="ListParagraph">
    <w:name w:val="List Paragraph"/>
    <w:basedOn w:val="Normal"/>
    <w:uiPriority w:val="34"/>
    <w:qFormat/>
    <w:rsid w:val="00AC1730"/>
    <w:pPr>
      <w:ind w:left="720"/>
      <w:contextualSpacing/>
    </w:pPr>
  </w:style>
  <w:style w:type="character" w:styleId="IntenseEmphasis">
    <w:name w:val="Intense Emphasis"/>
    <w:basedOn w:val="DefaultParagraphFont"/>
    <w:uiPriority w:val="21"/>
    <w:qFormat/>
    <w:rsid w:val="00AC1730"/>
    <w:rPr>
      <w:i/>
      <w:iCs/>
      <w:color w:val="0F4761" w:themeColor="accent1" w:themeShade="BF"/>
    </w:rPr>
  </w:style>
  <w:style w:type="paragraph" w:styleId="IntenseQuote">
    <w:name w:val="Intense Quote"/>
    <w:basedOn w:val="Normal"/>
    <w:next w:val="Normal"/>
    <w:link w:val="IntenseQuoteChar"/>
    <w:uiPriority w:val="30"/>
    <w:qFormat/>
    <w:rsid w:val="00A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30"/>
    <w:rPr>
      <w:i/>
      <w:iCs/>
      <w:color w:val="0F4761" w:themeColor="accent1" w:themeShade="BF"/>
    </w:rPr>
  </w:style>
  <w:style w:type="character" w:styleId="IntenseReference">
    <w:name w:val="Intense Reference"/>
    <w:basedOn w:val="DefaultParagraphFont"/>
    <w:uiPriority w:val="32"/>
    <w:qFormat/>
    <w:rsid w:val="00AC1730"/>
    <w:rPr>
      <w:b/>
      <w:bCs/>
      <w:smallCaps/>
      <w:color w:val="0F4761" w:themeColor="accent1" w:themeShade="BF"/>
      <w:spacing w:val="5"/>
    </w:rPr>
  </w:style>
  <w:style w:type="paragraph" w:styleId="Header">
    <w:name w:val="header"/>
    <w:basedOn w:val="Normal"/>
    <w:link w:val="HeaderChar"/>
    <w:uiPriority w:val="99"/>
    <w:unhideWhenUsed/>
    <w:rsid w:val="00AC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730"/>
  </w:style>
  <w:style w:type="paragraph" w:styleId="Footer">
    <w:name w:val="footer"/>
    <w:basedOn w:val="Normal"/>
    <w:link w:val="FooterChar"/>
    <w:uiPriority w:val="99"/>
    <w:unhideWhenUsed/>
    <w:rsid w:val="00AC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730"/>
  </w:style>
  <w:style w:type="character" w:styleId="LineNumber">
    <w:name w:val="line number"/>
    <w:basedOn w:val="DefaultParagraphFont"/>
    <w:uiPriority w:val="99"/>
    <w:semiHidden/>
    <w:unhideWhenUsed/>
    <w:rsid w:val="00EB609A"/>
    <w:rPr>
      <w:color w:val="7F7F7F" w:themeColor="text1" w:themeTint="80"/>
      <w:sz w:val="18"/>
    </w:rPr>
  </w:style>
  <w:style w:type="character" w:styleId="Strong">
    <w:name w:val="Strong"/>
    <w:basedOn w:val="DefaultParagraphFont"/>
    <w:uiPriority w:val="22"/>
    <w:qFormat/>
    <w:rsid w:val="00D0092F"/>
    <w:rPr>
      <w:b/>
      <w:bCs/>
    </w:rPr>
  </w:style>
  <w:style w:type="character" w:styleId="CommentReference">
    <w:name w:val="annotation reference"/>
    <w:basedOn w:val="DefaultParagraphFont"/>
    <w:uiPriority w:val="99"/>
    <w:semiHidden/>
    <w:unhideWhenUsed/>
    <w:rsid w:val="004E258E"/>
    <w:rPr>
      <w:sz w:val="16"/>
      <w:szCs w:val="16"/>
    </w:rPr>
  </w:style>
  <w:style w:type="paragraph" w:styleId="CommentText">
    <w:name w:val="annotation text"/>
    <w:basedOn w:val="Normal"/>
    <w:link w:val="CommentTextChar"/>
    <w:uiPriority w:val="99"/>
    <w:unhideWhenUsed/>
    <w:rsid w:val="004E258E"/>
    <w:pPr>
      <w:spacing w:line="240" w:lineRule="auto"/>
    </w:pPr>
    <w:rPr>
      <w:sz w:val="20"/>
      <w:szCs w:val="20"/>
    </w:rPr>
  </w:style>
  <w:style w:type="character" w:customStyle="1" w:styleId="CommentTextChar">
    <w:name w:val="Comment Text Char"/>
    <w:basedOn w:val="DefaultParagraphFont"/>
    <w:link w:val="CommentText"/>
    <w:uiPriority w:val="99"/>
    <w:rsid w:val="004E258E"/>
    <w:rPr>
      <w:sz w:val="20"/>
      <w:szCs w:val="20"/>
    </w:rPr>
  </w:style>
  <w:style w:type="paragraph" w:styleId="CommentSubject">
    <w:name w:val="annotation subject"/>
    <w:basedOn w:val="CommentText"/>
    <w:next w:val="CommentText"/>
    <w:link w:val="CommentSubjectChar"/>
    <w:uiPriority w:val="99"/>
    <w:semiHidden/>
    <w:unhideWhenUsed/>
    <w:rsid w:val="004E258E"/>
    <w:rPr>
      <w:b/>
      <w:bCs/>
    </w:rPr>
  </w:style>
  <w:style w:type="character" w:customStyle="1" w:styleId="CommentSubjectChar">
    <w:name w:val="Comment Subject Char"/>
    <w:basedOn w:val="CommentTextChar"/>
    <w:link w:val="CommentSubject"/>
    <w:uiPriority w:val="99"/>
    <w:semiHidden/>
    <w:rsid w:val="004E25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19E1-B58D-4A1B-B65F-3C4EE75DAD0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8225</TotalTime>
  <Pages>5</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6</cp:revision>
  <dcterms:created xsi:type="dcterms:W3CDTF">2025-11-14T16:05:00Z</dcterms:created>
  <dcterms:modified xsi:type="dcterms:W3CDTF">2025-11-30T00:16:00Z</dcterms:modified>
</cp:coreProperties>
</file>