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1B1C7B" w14:textId="77777777" w:rsidR="00C37A9B" w:rsidRDefault="005373C1">
      <w:pPr>
        <w:pStyle w:val="Heading1"/>
      </w:pPr>
      <w:bookmarkStart w:id="0" w:name="prfaq-cpfr-module-in-chewy-partner-hub"/>
      <w:r>
        <w:t>PRFAQ: CPFR Module in Chewy Partner Hub</w:t>
      </w:r>
    </w:p>
    <w:p w14:paraId="4E20A9B9" w14:textId="77777777" w:rsidR="00C37A9B" w:rsidRDefault="005373C1">
      <w:pPr>
        <w:pStyle w:val="FirstParagraph"/>
      </w:pPr>
      <w:r>
        <w:rPr>
          <w:b/>
          <w:bCs/>
        </w:rPr>
        <w:t>Status:</w:t>
      </w:r>
      <w:r>
        <w:t xml:space="preserve"> Working Draft</w:t>
      </w:r>
      <w:r>
        <w:br/>
      </w:r>
      <w:r>
        <w:rPr>
          <w:b/>
          <w:bCs/>
        </w:rPr>
        <w:t>Last Updated:</w:t>
      </w:r>
      <w:r>
        <w:t xml:space="preserve"> 2026-03-08</w:t>
      </w:r>
      <w:r>
        <w:br/>
      </w:r>
      <w:r>
        <w:rPr>
          <w:b/>
          <w:bCs/>
        </w:rPr>
        <w:t>Author:</w:t>
      </w:r>
      <w:r>
        <w:t xml:space="preserve"> Nathan Miles</w:t>
      </w:r>
    </w:p>
    <w:p w14:paraId="089D8654" w14:textId="77777777" w:rsidR="00C37A9B" w:rsidRPr="00AD2396" w:rsidRDefault="005373C1" w:rsidP="00AD2396">
      <w:pPr>
        <w:pStyle w:val="Heading2"/>
      </w:pPr>
      <w:bookmarkStart w:id="1" w:name="press-release"/>
      <w:r w:rsidRPr="00AD2396">
        <w:t>PRESS RELEASE</w:t>
      </w:r>
    </w:p>
    <w:p w14:paraId="1E370C13" w14:textId="790F4086" w:rsidR="00C37A9B" w:rsidRDefault="005373C1">
      <w:pPr>
        <w:pStyle w:val="Heading3"/>
      </w:pPr>
      <w:bookmarkStart w:id="2" w:name="X9b84ebce33f8b5289188201401b3abe6c6391b4"/>
      <w:r>
        <w:t>Chewy Partner Hub Expands CPFR Module, Bringing Daily Supply Chain Visibility to 3,200+ Vendors</w:t>
      </w:r>
    </w:p>
    <w:p w14:paraId="40D6FA49" w14:textId="77777777" w:rsidR="00C37A9B" w:rsidRDefault="005373C1">
      <w:pPr>
        <w:pStyle w:val="FirstParagraph"/>
      </w:pPr>
      <w:r>
        <w:rPr>
          <w:i/>
          <w:iCs/>
        </w:rPr>
        <w:t>Vendors gain self-service access to the forecast and replenishment data that drives their business—refreshed daily instead of weekly, with vendors controlling their own distribution.</w:t>
      </w:r>
    </w:p>
    <w:p w14:paraId="71709269" w14:textId="558A3659" w:rsidR="00522C5D" w:rsidRPr="00522C5D" w:rsidRDefault="00522C5D" w:rsidP="00522C5D">
      <w:pPr>
        <w:pStyle w:val="BodyText"/>
      </w:pPr>
      <w:r w:rsidRPr="00522C5D">
        <w:t>Plantation, FL — June 2026 — Chewy, Inc. (NYSE: CHWY) today announced the launch of a Collaborative Planning, Forecasting &amp; Replenishment (CPFR) module within Chewy Partner Hub (CPH), Chewy’s digital platform for supply chain partners. The CPFR module gives more than 3,200 vendors self-service access to their forecast, inventory, and replenishment data—refreshed daily—</w:t>
      </w:r>
      <w:commentRangeStart w:id="3"/>
      <w:commentRangeStart w:id="4"/>
      <w:r w:rsidRPr="00522C5D">
        <w:t>so they can verify changes</w:t>
      </w:r>
      <w:commentRangeEnd w:id="3"/>
      <w:r w:rsidR="00461086" w:rsidRPr="00522C5D">
        <w:rPr>
          <w:rStyle w:val="CommentReference"/>
          <w:sz w:val="20"/>
          <w:szCs w:val="24"/>
        </w:rPr>
        <w:commentReference w:id="3"/>
      </w:r>
      <w:commentRangeEnd w:id="4"/>
      <w:r w:rsidR="00461086" w:rsidRPr="00522C5D">
        <w:rPr>
          <w:rStyle w:val="CommentReference"/>
          <w:sz w:val="20"/>
          <w:szCs w:val="24"/>
        </w:rPr>
        <w:commentReference w:id="4"/>
      </w:r>
      <w:r w:rsidRPr="00522C5D">
        <w:t>, resolve questions, and plan with Chewy without waiting for weekly report cycles.</w:t>
      </w:r>
    </w:p>
    <w:p w14:paraId="53688F63" w14:textId="6ACEAE77" w:rsidR="00522C5D" w:rsidRPr="00522C5D" w:rsidRDefault="00522C5D" w:rsidP="00522C5D">
      <w:pPr>
        <w:pStyle w:val="BodyText"/>
      </w:pPr>
      <w:r w:rsidRPr="00522C5D">
        <w:t>Today</w:t>
      </w:r>
      <w:commentRangeStart w:id="5"/>
      <w:r w:rsidRPr="00522C5D">
        <w:t>, many vendors receive CPFR data through weekly emailed reports</w:t>
      </w:r>
      <w:commentRangeEnd w:id="5"/>
      <w:r w:rsidR="00461086" w:rsidRPr="00522C5D">
        <w:rPr>
          <w:rStyle w:val="CommentReference"/>
          <w:sz w:val="20"/>
          <w:szCs w:val="24"/>
        </w:rPr>
        <w:commentReference w:id="5"/>
      </w:r>
      <w:r w:rsidRPr="00522C5D">
        <w:t xml:space="preserve">. </w:t>
      </w:r>
      <w:commentRangeStart w:id="6"/>
      <w:commentRangeStart w:id="7"/>
      <w:r w:rsidRPr="00522C5D">
        <w:t>When a question arises mid-week—such as a forecast discrepancy or an on-order quantity mismatch—vendors often must route requests back through their Chewy Instock Manager for a manual re-pull and redistribution. Vendors also have limited ability to retrieve historical reports on demand or control who within their organization receives CPFR distributions.</w:t>
      </w:r>
      <w:commentRangeEnd w:id="6"/>
      <w:r w:rsidR="00461086" w:rsidRPr="00522C5D">
        <w:rPr>
          <w:rStyle w:val="CommentReference"/>
          <w:sz w:val="20"/>
          <w:szCs w:val="24"/>
        </w:rPr>
        <w:commentReference w:id="6"/>
      </w:r>
      <w:commentRangeEnd w:id="7"/>
      <w:r w:rsidR="00461086" w:rsidRPr="00522C5D">
        <w:rPr>
          <w:rStyle w:val="CommentReference"/>
          <w:sz w:val="20"/>
          <w:szCs w:val="24"/>
        </w:rPr>
        <w:commentReference w:id="7"/>
      </w:r>
    </w:p>
    <w:p w14:paraId="6D51BA41" w14:textId="77777777" w:rsidR="00522C5D" w:rsidRPr="00522C5D" w:rsidRDefault="00522C5D" w:rsidP="00522C5D">
      <w:pPr>
        <w:pStyle w:val="BodyText"/>
      </w:pPr>
      <w:r w:rsidRPr="00522C5D">
        <w:t>With the CPFR module in Chewy Partner Hub, vendors can access current and historical CPFR reports on demand through a secure portal and manage their own distribution lists—adding or removing recipients without waiting on manual updates from Chewy. This improves speed and transparency for vendors, while enabling Chewy teams to focus more time on higher-value planning and collaboration.</w:t>
      </w:r>
    </w:p>
    <w:p w14:paraId="084B7B58" w14:textId="5DE1B60E" w:rsidR="009A63AB" w:rsidRPr="00522C5D" w:rsidRDefault="009A63AB" w:rsidP="00522C5D">
      <w:pPr>
        <w:pStyle w:val="BodyText"/>
      </w:pPr>
      <w:commentRangeStart w:id="8"/>
      <w:commentRangeStart w:id="9"/>
      <w:r w:rsidRPr="00522C5D">
        <w:t xml:space="preserve">“Before this, </w:t>
      </w:r>
      <w:r w:rsidR="00522C5D" w:rsidRPr="00522C5D">
        <w:t xml:space="preserve">confirming the impact of change </w:t>
      </w:r>
      <w:r w:rsidR="00BF648A">
        <w:t xml:space="preserve">made for instance on a Wednesday, </w:t>
      </w:r>
      <w:r w:rsidR="00522C5D" w:rsidRPr="00522C5D">
        <w:t xml:space="preserve">often required </w:t>
      </w:r>
      <w:r w:rsidRPr="00522C5D">
        <w:t>a lot of coordination just to reconcile the numbers</w:t>
      </w:r>
      <w:r w:rsidR="00BF648A">
        <w:t xml:space="preserve"> before end of week</w:t>
      </w:r>
      <w:r w:rsidRPr="00522C5D">
        <w:t>,” said Sarah Kowalski, Director of Supply Chain at Church &amp; Dwight. “</w:t>
      </w:r>
      <w:r w:rsidR="00522C5D" w:rsidRPr="00522C5D">
        <w:t xml:space="preserve">Now my team can pull what we need on demand, and I decide who has access. </w:t>
      </w:r>
      <w:r w:rsidRPr="00522C5D">
        <w:t xml:space="preserve">That keeps us in planning mode instead of troubleshooting—and helps us </w:t>
      </w:r>
      <w:r w:rsidR="00BF648A">
        <w:t xml:space="preserve">fulfill commitments faster to Chewy and </w:t>
      </w:r>
      <w:r w:rsidRPr="00522C5D">
        <w:t>our customers.”</w:t>
      </w:r>
      <w:commentRangeEnd w:id="8"/>
      <w:r w:rsidR="00461086" w:rsidRPr="00522C5D">
        <w:rPr>
          <w:rStyle w:val="CommentReference"/>
          <w:sz w:val="20"/>
          <w:szCs w:val="24"/>
        </w:rPr>
        <w:commentReference w:id="8"/>
      </w:r>
      <w:commentRangeEnd w:id="9"/>
      <w:r w:rsidR="00461086" w:rsidRPr="00522C5D">
        <w:rPr>
          <w:rStyle w:val="CommentReference"/>
          <w:sz w:val="20"/>
          <w:szCs w:val="24"/>
        </w:rPr>
        <w:commentReference w:id="9"/>
      </w:r>
    </w:p>
    <w:p w14:paraId="22114515" w14:textId="7FE4A19D" w:rsidR="00166762" w:rsidRPr="00522C5D" w:rsidRDefault="00166762" w:rsidP="00522C5D">
      <w:pPr>
        <w:pStyle w:val="BodyText"/>
      </w:pPr>
      <w:r w:rsidRPr="00522C5D">
        <w:t xml:space="preserve">“Our vendors are our partners,” said Dave Livesay, Sr. Director of Inventory Management at Chewy. “They deserve the kind of access that lets them </w:t>
      </w:r>
      <w:r w:rsidR="00522C5D" w:rsidRPr="00522C5D">
        <w:t>move faster</w:t>
      </w:r>
      <w:r w:rsidR="00F92D0F">
        <w:t xml:space="preserve">, </w:t>
      </w:r>
      <w:r w:rsidR="00522C5D" w:rsidRPr="00522C5D">
        <w:t>with</w:t>
      </w:r>
      <w:r w:rsidRPr="00522C5D">
        <w:t xml:space="preserve"> less time chasing updates and more time aligning o</w:t>
      </w:r>
      <w:r w:rsidR="00522C5D">
        <w:t>n</w:t>
      </w:r>
      <w:r w:rsidRPr="00522C5D">
        <w:t xml:space="preserve"> the plan. </w:t>
      </w:r>
      <w:r w:rsidR="00522C5D" w:rsidRPr="00522C5D">
        <w:t>The CPFR module in Chewy Partner Hub gives vendors timely, self-service access to the data they already rely on</w:t>
      </w:r>
      <w:r w:rsidR="00F92D0F">
        <w:t xml:space="preserve">, </w:t>
      </w:r>
      <w:r w:rsidR="00522C5D" w:rsidRPr="00522C5D">
        <w:t xml:space="preserve">and </w:t>
      </w:r>
      <w:r w:rsidR="00E073DF">
        <w:t xml:space="preserve">is built on </w:t>
      </w:r>
      <w:r w:rsidR="00522C5D" w:rsidRPr="00522C5D">
        <w:t xml:space="preserve">a foundation </w:t>
      </w:r>
      <w:r w:rsidR="00E073DF">
        <w:t>that scales more seamlessly as our</w:t>
      </w:r>
      <w:r w:rsidR="00522C5D" w:rsidRPr="00522C5D">
        <w:t xml:space="preserve"> </w:t>
      </w:r>
      <w:r w:rsidR="00E073DF">
        <w:t>vendor community</w:t>
      </w:r>
      <w:r w:rsidR="00522C5D" w:rsidRPr="00522C5D">
        <w:t xml:space="preserve"> expands</w:t>
      </w:r>
      <w:r w:rsidRPr="00522C5D">
        <w:t>.”</w:t>
      </w:r>
    </w:p>
    <w:p w14:paraId="0C62EEA3" w14:textId="18B9CB08" w:rsidR="00C37A9B" w:rsidRPr="009A63AB" w:rsidRDefault="005373C1" w:rsidP="009A63AB">
      <w:pPr>
        <w:pStyle w:val="BodyText"/>
      </w:pPr>
      <w:r w:rsidRPr="009A63AB">
        <w:t>The CPFR module will be available to all enrolled Chewy Partner Hub vendors at launch, with onboarding phased by tier to ensure a smooth transition. Vendors currently receiving weekly CPFR reports will retain uninterrupted access to those reports while gaining portal access as an additional channel. For more information on Chewy Partner Hub and its expanding supply chain capabilities, vendors can contact their Chewy In</w:t>
      </w:r>
      <w:r w:rsidR="002D7CA0">
        <w:t>-</w:t>
      </w:r>
      <w:r w:rsidRPr="009A63AB">
        <w:t>stock Manager or visit the Chewy Partner Hub portal directly.</w:t>
      </w:r>
    </w:p>
    <w:p w14:paraId="50B84B1C" w14:textId="77777777" w:rsidR="00C37A9B" w:rsidRDefault="005373C1">
      <w:pPr>
        <w:pStyle w:val="Heading2"/>
      </w:pPr>
      <w:bookmarkStart w:id="10" w:name="internal-faq"/>
      <w:bookmarkEnd w:id="1"/>
      <w:bookmarkEnd w:id="2"/>
      <w:r>
        <w:t>INTERNAL FAQ</w:t>
      </w:r>
    </w:p>
    <w:p w14:paraId="492649A9" w14:textId="77777777" w:rsidR="00C37A9B" w:rsidRDefault="005373C1">
      <w:pPr>
        <w:pStyle w:val="FirstParagraph"/>
      </w:pPr>
      <w:r>
        <w:rPr>
          <w:b/>
          <w:bCs/>
        </w:rPr>
        <w:t>Q: This initiative was submitted for OP1 and didn’t make the cut. Why should we invest through allocation now rather than resubmit in the next planning cycle?</w:t>
      </w:r>
    </w:p>
    <w:p w14:paraId="5CE4C617" w14:textId="29044A19" w:rsidR="00C37A9B" w:rsidRDefault="005373C1">
      <w:pPr>
        <w:pStyle w:val="BodyText"/>
      </w:pPr>
      <w:commentRangeStart w:id="11"/>
      <w:r>
        <w:t>The CPFR data platform</w:t>
      </w:r>
      <w:r w:rsidR="0042569C">
        <w:t xml:space="preserve"> is </w:t>
      </w:r>
      <w:r>
        <w:t xml:space="preserve">the most capital-intensive and technically complex component of this </w:t>
      </w:r>
      <w:r w:rsidR="0042569C">
        <w:t xml:space="preserve">initiative and </w:t>
      </w:r>
      <w:r>
        <w:t xml:space="preserve">is on track for delivery on March 31, 2026. This investment has already been made. </w:t>
      </w:r>
      <w:commentRangeEnd w:id="11"/>
      <w:r w:rsidR="00461086">
        <w:rPr>
          <w:rStyle w:val="CommentReference"/>
          <w:sz w:val="20"/>
          <w:szCs w:val="24"/>
        </w:rPr>
        <w:commentReference w:id="11"/>
      </w:r>
      <w:r>
        <w:t xml:space="preserve">What remains is the portal integration: connecting </w:t>
      </w:r>
      <w:r>
        <w:lastRenderedPageBreak/>
        <w:t xml:space="preserve">a </w:t>
      </w:r>
      <w:r w:rsidR="0042569C">
        <w:t>portal for</w:t>
      </w:r>
      <w:r>
        <w:t xml:space="preserve"> the vendor-facing experience in Chewy Partner Hub. </w:t>
      </w:r>
      <w:r w:rsidR="0042569C">
        <w:t>M</w:t>
      </w:r>
      <w:r>
        <w:t>arginal effort to realize value on the existing investment is bounded, well-scoped, and</w:t>
      </w:r>
      <w:r w:rsidR="0042569C">
        <w:t xml:space="preserve"> largely </w:t>
      </w:r>
      <w:r>
        <w:t>dependent on CPH engineering capacity</w:t>
      </w:r>
      <w:r w:rsidR="0042569C">
        <w:t xml:space="preserve"> instead of</w:t>
      </w:r>
      <w:r>
        <w:t xml:space="preserve"> net-new infrastructure</w:t>
      </w:r>
      <w:r w:rsidR="0042569C">
        <w:t>.</w:t>
      </w:r>
    </w:p>
    <w:p w14:paraId="3E9AE03F" w14:textId="53DA8B5F" w:rsidR="0042569C" w:rsidRDefault="005373C1" w:rsidP="00CD67BB">
      <w:pPr>
        <w:pStyle w:val="BodyText"/>
        <w:spacing w:after="0"/>
      </w:pPr>
      <w:r>
        <w:t>Waiting for the next OP1 cycle introduces three costs</w:t>
      </w:r>
      <w:r w:rsidR="0042569C">
        <w:t>:</w:t>
      </w:r>
    </w:p>
    <w:p w14:paraId="603D6441" w14:textId="20DC849D" w:rsidR="0042569C" w:rsidRDefault="005373C1" w:rsidP="00CD67BB">
      <w:pPr>
        <w:pStyle w:val="ListBullet"/>
        <w:spacing w:before="0"/>
      </w:pPr>
      <w:commentRangeStart w:id="12"/>
      <w:r>
        <w:t>First, a completed data platform sits unconsumed—</w:t>
      </w:r>
      <w:r w:rsidR="0042569C">
        <w:t>there’s</w:t>
      </w:r>
      <w:r>
        <w:t xml:space="preserve"> no vendor-facing value until the portal work is done. </w:t>
      </w:r>
      <w:commentRangeEnd w:id="12"/>
      <w:r w:rsidR="00B9782C">
        <w:rPr>
          <w:rStyle w:val="CommentReference"/>
          <w:sz w:val="20"/>
          <w:szCs w:val="24"/>
        </w:rPr>
        <w:commentReference w:id="12"/>
      </w:r>
    </w:p>
    <w:p w14:paraId="756BE530" w14:textId="77777777" w:rsidR="0042569C" w:rsidRDefault="005373C1" w:rsidP="00CD67BB">
      <w:pPr>
        <w:pStyle w:val="ListBullet"/>
        <w:spacing w:before="0"/>
      </w:pPr>
      <w:commentRangeStart w:id="13"/>
      <w:r>
        <w:t>Second, the manual email-based distribution process continues to scale with a vendor base that has grown from roughly 1,000 to over 3,200 and has line-of-sight to 4,150, with maintenance demands growing disproportionately</w:t>
      </w:r>
      <w:commentRangeEnd w:id="13"/>
      <w:r w:rsidR="00B9782C">
        <w:rPr>
          <w:rStyle w:val="CommentReference"/>
          <w:sz w:val="20"/>
          <w:szCs w:val="24"/>
        </w:rPr>
        <w:commentReference w:id="13"/>
      </w:r>
      <w:r>
        <w:t xml:space="preserve">. </w:t>
      </w:r>
    </w:p>
    <w:p w14:paraId="4F903732" w14:textId="4CB5CC50" w:rsidR="00C37A9B" w:rsidRDefault="005373C1" w:rsidP="00CD67BB">
      <w:pPr>
        <w:pStyle w:val="ListBullet"/>
        <w:spacing w:before="0"/>
      </w:pPr>
      <w:commentRangeStart w:id="14"/>
      <w:commentRangeStart w:id="15"/>
      <w:commentRangeStart w:id="16"/>
      <w:r>
        <w:t>Third, every week that vendor distribution lists remain Chewy-managed is another week of exposure to misdirected proprietary data—an event that has already occurred in isolated incidents with limited impact, but whose blast radius grows with the vendor base.</w:t>
      </w:r>
      <w:commentRangeEnd w:id="15"/>
      <w:r w:rsidR="00B9782C">
        <w:rPr>
          <w:rStyle w:val="CommentReference"/>
          <w:sz w:val="20"/>
          <w:szCs w:val="24"/>
        </w:rPr>
        <w:commentReference w:id="15"/>
      </w:r>
      <w:commentRangeEnd w:id="16"/>
      <w:r w:rsidR="00B9782C">
        <w:rPr>
          <w:rStyle w:val="CommentReference"/>
          <w:sz w:val="20"/>
          <w:szCs w:val="24"/>
        </w:rPr>
        <w:commentReference w:id="16"/>
      </w:r>
      <w:commentRangeEnd w:id="14"/>
      <w:r w:rsidR="00B9782C">
        <w:rPr>
          <w:rStyle w:val="CommentReference"/>
          <w:sz w:val="20"/>
          <w:szCs w:val="24"/>
        </w:rPr>
        <w:commentReference w:id="14"/>
      </w:r>
    </w:p>
    <w:p w14:paraId="18D3A074" w14:textId="4F47DF41" w:rsidR="0042569C" w:rsidRDefault="0042569C" w:rsidP="00CD67BB">
      <w:pPr>
        <w:pStyle w:val="BodyText"/>
        <w:spacing w:after="0"/>
      </w:pPr>
      <w:commentRangeStart w:id="17"/>
      <w:commentRangeStart w:id="18"/>
      <w:r>
        <w:t>Importantly—t</w:t>
      </w:r>
      <w:r w:rsidR="005373C1">
        <w:t>he OP1 submission wasn</w:t>
      </w:r>
      <w:r>
        <w:t>’</w:t>
      </w:r>
      <w:r w:rsidR="005373C1">
        <w:t>t rejected on the merits of its business case; it was deprioritized due to competing initiatives and late insertion into the planning cycle. The underlying value</w:t>
      </w:r>
      <w:r>
        <w:t>/ROI includes:</w:t>
      </w:r>
      <w:commentRangeEnd w:id="17"/>
      <w:r w:rsidR="00B9782C">
        <w:rPr>
          <w:rStyle w:val="CommentReference"/>
          <w:sz w:val="20"/>
          <w:szCs w:val="24"/>
        </w:rPr>
        <w:commentReference w:id="17"/>
      </w:r>
      <w:commentRangeEnd w:id="18"/>
      <w:r w:rsidR="00B9782C">
        <w:rPr>
          <w:rStyle w:val="CommentReference"/>
          <w:sz w:val="20"/>
          <w:szCs w:val="24"/>
        </w:rPr>
        <w:commentReference w:id="18"/>
      </w:r>
    </w:p>
    <w:p w14:paraId="341E0AA4" w14:textId="77777777" w:rsidR="0042569C" w:rsidRPr="0042569C" w:rsidRDefault="005373C1" w:rsidP="00CD67BB">
      <w:pPr>
        <w:pStyle w:val="ListBullet"/>
        <w:spacing w:before="0"/>
      </w:pPr>
      <w:r w:rsidRPr="0042569C">
        <w:t>~$1.4M in recurring annual benefit from ISM capacity reallocation alone</w:t>
      </w:r>
    </w:p>
    <w:p w14:paraId="2E387182" w14:textId="77777777" w:rsidR="0042569C" w:rsidRPr="0042569C" w:rsidRDefault="005373C1" w:rsidP="00CD67BB">
      <w:pPr>
        <w:pStyle w:val="ListBullet"/>
        <w:spacing w:before="0"/>
      </w:pPr>
      <w:r w:rsidRPr="0042569C">
        <w:t>documented cost avoidance of $5M from a single forecast threshold event, and</w:t>
      </w:r>
      <w:r w:rsidR="0042569C" w:rsidRPr="0042569C">
        <w:t>…</w:t>
      </w:r>
    </w:p>
    <w:p w14:paraId="6AA26702" w14:textId="6BD4D7CA" w:rsidR="00C37A9B" w:rsidRPr="0042569C" w:rsidRDefault="005373C1" w:rsidP="00CD67BB">
      <w:pPr>
        <w:pStyle w:val="ListBullet"/>
        <w:spacing w:before="0"/>
      </w:pPr>
      <w:r w:rsidRPr="0042569C">
        <w:t>$15M in estimated annual exposure from recurring threshold issues</w:t>
      </w:r>
      <w:r w:rsidR="0042569C" w:rsidRPr="0042569C">
        <w:t xml:space="preserve">. </w:t>
      </w:r>
      <w:r w:rsidRPr="0042569C">
        <w:t>Allocation-funded progress now de-risks and accelerates a future OP1 submission by demonstrating delivery momentum and reducing the remaining scope to a well-defined increment.</w:t>
      </w:r>
    </w:p>
    <w:p w14:paraId="73569C81" w14:textId="787398A9" w:rsidR="00C37A9B" w:rsidRDefault="005373C1">
      <w:pPr>
        <w:pStyle w:val="BodyText"/>
      </w:pPr>
      <w:commentRangeStart w:id="19"/>
      <w:r>
        <w:rPr>
          <w:b/>
          <w:bCs/>
        </w:rPr>
        <w:t xml:space="preserve">Q: How </w:t>
      </w:r>
      <w:commentRangeEnd w:id="19"/>
      <w:r w:rsidR="00B9782C">
        <w:rPr>
          <w:rStyle w:val="CommentReference"/>
          <w:b/>
          <w:bCs/>
          <w:sz w:val="20"/>
          <w:szCs w:val="24"/>
        </w:rPr>
        <w:commentReference w:id="19"/>
      </w:r>
      <w:r>
        <w:rPr>
          <w:b/>
          <w:bCs/>
        </w:rPr>
        <w:t xml:space="preserve">does the CPFR module maintain a unified vendor experience in </w:t>
      </w:r>
      <w:r w:rsidR="00A64F91">
        <w:rPr>
          <w:b/>
          <w:bCs/>
        </w:rPr>
        <w:t>CPH</w:t>
      </w:r>
      <w:r>
        <w:rPr>
          <w:b/>
          <w:bCs/>
        </w:rPr>
        <w:t xml:space="preserve"> alongside other planned capabilities?</w:t>
      </w:r>
    </w:p>
    <w:p w14:paraId="5CBEE677" w14:textId="71B6B605" w:rsidR="00C37A9B" w:rsidRDefault="005373C1">
      <w:pPr>
        <w:pStyle w:val="BodyText"/>
      </w:pPr>
      <w:r>
        <w:t xml:space="preserve">The CPFR module is built within the existing Chewy Partner Hub architecture, using the same navigation patterns, design </w:t>
      </w:r>
      <w:r w:rsidR="00A64F91">
        <w:t>language</w:t>
      </w:r>
      <w:r>
        <w:t xml:space="preserve">, and vendor-authentication framework that will underpin all CPH capabilities. Vendor isolation, </w:t>
      </w:r>
      <w:r w:rsidR="00A64F91">
        <w:t>admin</w:t>
      </w:r>
      <w:r>
        <w:t xml:space="preserve"> controls, and data governance are enforced at the platform—not implemented separately per module</w:t>
      </w:r>
      <w:r w:rsidR="00A64F91">
        <w:t>. Supporting this—t</w:t>
      </w:r>
      <w:r>
        <w:t>he CPFR and Vendor Compliance workstreams share a consolidated BRD and are coordinated through a unified integration plan to prevent the kind of fragmentation that erodes vendor trust when modules feel like they were built for different users. As additional capabilities come online, they inherit this shared foundation rather than introducing</w:t>
      </w:r>
      <w:r w:rsidR="00A64F91">
        <w:t xml:space="preserve"> ‘forks in the road’</w:t>
      </w:r>
      <w:r>
        <w:t>.</w:t>
      </w:r>
    </w:p>
    <w:p w14:paraId="229C48C3" w14:textId="77777777" w:rsidR="00C37A9B" w:rsidRDefault="005373C1">
      <w:pPr>
        <w:pStyle w:val="BodyText"/>
      </w:pPr>
      <w:r>
        <w:rPr>
          <w:b/>
          <w:bCs/>
        </w:rPr>
        <w:t>Q: What engineering resources are required to deliver the CPFR module in CPH, and what is the current readiness state of the teams and assets involved?</w:t>
      </w:r>
    </w:p>
    <w:p w14:paraId="60A01909" w14:textId="03E6D94E" w:rsidR="00C37A9B" w:rsidRDefault="005373C1">
      <w:pPr>
        <w:pStyle w:val="BodyText"/>
      </w:pPr>
      <w:r>
        <w:t xml:space="preserve">The CPFR data platform is being delivered by SC-BIE and is on track for March 31, 2026 </w:t>
      </w:r>
      <w:r w:rsidR="002D7CA0">
        <w:t xml:space="preserve">deployment </w:t>
      </w:r>
      <w:r>
        <w:t>at network grain, covering approximately 9</w:t>
      </w:r>
      <w:r w:rsidR="00A64F91">
        <w:t>8</w:t>
      </w:r>
      <w:r>
        <w:t>.</w:t>
      </w:r>
      <w:r w:rsidR="00A64F91">
        <w:t>4</w:t>
      </w:r>
      <w:r>
        <w:t xml:space="preserve">% of active vendors. The remaining work is portal integration within CPH: </w:t>
      </w:r>
      <w:r w:rsidRPr="00A64F91">
        <w:rPr>
          <w:b/>
          <w:bCs/>
        </w:rPr>
        <w:t xml:space="preserve">connecting the platform to the vendor-facing experience, implementing vendor-managed distribution, and surfacing scorecard and report-retrieval interfaces. </w:t>
      </w:r>
      <w:r>
        <w:t xml:space="preserve">This scope has been defined through a consolidated BRD, detailed user stories, wireframes, and a feasibility analysis completed in collaboration with teams that have since rotated to other priorities. What is needed is CPH development capacity, a </w:t>
      </w:r>
      <w:r w:rsidR="00A64F91">
        <w:t>designated</w:t>
      </w:r>
      <w:r>
        <w:t xml:space="preserve"> technical </w:t>
      </w:r>
      <w:r w:rsidR="00A64F91">
        <w:t>POC</w:t>
      </w:r>
      <w:r>
        <w:t xml:space="preserve">, and a dedicated coordination </w:t>
      </w:r>
      <w:r w:rsidR="00A64F91">
        <w:t>person</w:t>
      </w:r>
      <w:r>
        <w:t xml:space="preserve"> to drive cross-team translation between business requirements and engineering execution—a role that five successive departures have left unfilled and that is currently being carried through allocation</w:t>
      </w:r>
      <w:r w:rsidR="00A64F91">
        <w:t xml:space="preserve"> alone.</w:t>
      </w:r>
    </w:p>
    <w:p w14:paraId="78ED50F2" w14:textId="77777777" w:rsidR="00C37A9B" w:rsidRDefault="005373C1">
      <w:pPr>
        <w:pStyle w:val="BodyText"/>
      </w:pPr>
      <w:r>
        <w:rPr>
          <w:b/>
          <w:bCs/>
        </w:rPr>
        <w:t>Q: How is the CPFR module in CPH different from what vendors already receive through VDS?</w:t>
      </w:r>
    </w:p>
    <w:p w14:paraId="43475C95" w14:textId="65A04F2D" w:rsidR="00C37A9B" w:rsidRDefault="005373C1">
      <w:pPr>
        <w:pStyle w:val="BodyText"/>
      </w:pPr>
      <w:r>
        <w:t>VDS is a premium analytics service providing broad, deep supply chain intelligence across a wide range of data domains to 65 strategic vendors. CPFR is a narrower</w:t>
      </w:r>
      <w:r w:rsidR="003A4C89">
        <w:t xml:space="preserve"> subset of</w:t>
      </w:r>
      <w:r>
        <w:t xml:space="preserve"> dataset focused specifically on forecast, inventory, and replenishment data, provided at no cost to all enrolled vendors. The two serve fundamentally different needs: VDS serves vendors with dedicated analytical teams whose scope extends well beyond CPFR, while the CPFR module in CPH serves the much larger population of vendors—over 3,200 today—whose primary need is timely access to planning and replenishment data that directly supports their day-to-day supply chain ops. The portal doesn</w:t>
      </w:r>
      <w:r w:rsidR="003A4C89">
        <w:t>’</w:t>
      </w:r>
      <w:r>
        <w:t>t replicate VDS functionality; it provides a self-service access channel for data that vendors already receive and vendor-managed distribution.</w:t>
      </w:r>
    </w:p>
    <w:p w14:paraId="23B7A5F5" w14:textId="6D55282D" w:rsidR="00C37A9B" w:rsidRDefault="005373C1">
      <w:pPr>
        <w:pStyle w:val="BodyText"/>
      </w:pPr>
      <w:r>
        <w:rPr>
          <w:b/>
          <w:bCs/>
        </w:rPr>
        <w:t xml:space="preserve">Q: What is the measurable impact, and what does success look like in </w:t>
      </w:r>
      <w:r w:rsidR="00CD67BB">
        <w:rPr>
          <w:b/>
          <w:bCs/>
        </w:rPr>
        <w:t xml:space="preserve">30/60/90 days or </w:t>
      </w:r>
      <w:r>
        <w:rPr>
          <w:b/>
          <w:bCs/>
        </w:rPr>
        <w:t>12 months?</w:t>
      </w:r>
    </w:p>
    <w:p w14:paraId="052F94F7" w14:textId="0E499F90" w:rsidR="003A4C89" w:rsidRPr="003A4C89" w:rsidRDefault="003A4C89" w:rsidP="003A4C89">
      <w:pPr>
        <w:pStyle w:val="BodyText"/>
      </w:pPr>
      <w:r w:rsidRPr="003A4C89">
        <w:t>We will measure success through a closed-loop set of adoption and deflection metrics tied to the current pain points</w:t>
      </w:r>
      <w:r w:rsidR="00CD67BB">
        <w:t>:</w:t>
      </w:r>
    </w:p>
    <w:p w14:paraId="0D727FA1" w14:textId="77777777" w:rsidR="003A4C89" w:rsidRPr="003A4C89" w:rsidRDefault="003A4C89" w:rsidP="00CD67BB">
      <w:pPr>
        <w:pStyle w:val="BodyText"/>
        <w:spacing w:before="80" w:after="0"/>
      </w:pPr>
      <w:r w:rsidRPr="003A4C89">
        <w:rPr>
          <w:b/>
          <w:bCs/>
        </w:rPr>
        <w:t>Baseline (pre-launch):</w:t>
      </w:r>
    </w:p>
    <w:p w14:paraId="7C970A4B" w14:textId="77777777" w:rsidR="003A4C89" w:rsidRPr="003A4C89" w:rsidRDefault="003A4C89" w:rsidP="00CD67BB">
      <w:pPr>
        <w:pStyle w:val="ListBullet"/>
        <w:spacing w:before="0"/>
      </w:pPr>
      <w:r w:rsidRPr="003A4C89">
        <w:t>Volume of mid-week vendor requests for CPFR re-pulls / verification (tickets/emails/slack tags routed to ISMs/CPFR)</w:t>
      </w:r>
    </w:p>
    <w:p w14:paraId="4972D209" w14:textId="77777777" w:rsidR="003A4C89" w:rsidRPr="003A4C89" w:rsidRDefault="003A4C89" w:rsidP="00CD67BB">
      <w:pPr>
        <w:pStyle w:val="ListBullet"/>
        <w:spacing w:before="0"/>
      </w:pPr>
      <w:r w:rsidRPr="003A4C89">
        <w:lastRenderedPageBreak/>
        <w:t>Average turnaround time for mid-week “numbers verification” requests</w:t>
      </w:r>
    </w:p>
    <w:p w14:paraId="54F08799" w14:textId="77777777" w:rsidR="003A4C89" w:rsidRPr="003A4C89" w:rsidRDefault="003A4C89" w:rsidP="00CD67BB">
      <w:pPr>
        <w:pStyle w:val="ListBullet"/>
        <w:spacing w:before="0"/>
      </w:pPr>
      <w:r w:rsidRPr="003A4C89">
        <w:t>Count of distribution list change requests processed by Chewy teams</w:t>
      </w:r>
    </w:p>
    <w:p w14:paraId="456A5C8D" w14:textId="47E8C20F" w:rsidR="003A4C89" w:rsidRPr="003A4C89" w:rsidRDefault="003A4C89" w:rsidP="00CD67BB">
      <w:pPr>
        <w:pStyle w:val="ListBullet"/>
        <w:spacing w:before="0"/>
      </w:pPr>
      <w:r w:rsidRPr="003A4C89">
        <w:t>Vendor coverage and distribution list size (blast radius exposure proxy)</w:t>
      </w:r>
    </w:p>
    <w:p w14:paraId="1C6D6989" w14:textId="77777777" w:rsidR="003A4C89" w:rsidRPr="003A4C89" w:rsidRDefault="003A4C89" w:rsidP="00CD67BB">
      <w:pPr>
        <w:pStyle w:val="BodyText"/>
        <w:spacing w:before="80" w:after="0"/>
      </w:pPr>
      <w:r w:rsidRPr="003A4C89">
        <w:rPr>
          <w:b/>
          <w:bCs/>
        </w:rPr>
        <w:t>30 days (leading indicators):</w:t>
      </w:r>
    </w:p>
    <w:p w14:paraId="2C767E38" w14:textId="77777777" w:rsidR="003A4C89" w:rsidRPr="003A4C89" w:rsidRDefault="003A4C89" w:rsidP="00CD67BB">
      <w:pPr>
        <w:pStyle w:val="ListBullet"/>
        <w:spacing w:before="0"/>
      </w:pPr>
      <w:r w:rsidRPr="003A4C89">
        <w:t>Vendor orgs activated in CPH CPFR module (activation rate by tier)</w:t>
      </w:r>
    </w:p>
    <w:p w14:paraId="58D4EED4" w14:textId="77777777" w:rsidR="003A4C89" w:rsidRPr="003A4C89" w:rsidRDefault="003A4C89" w:rsidP="00CD67BB">
      <w:pPr>
        <w:pStyle w:val="ListBullet"/>
        <w:spacing w:before="0"/>
      </w:pPr>
      <w:r w:rsidRPr="003A4C89">
        <w:t>Report retrieval events per vendor org (weekly active vendor orgs)</w:t>
      </w:r>
    </w:p>
    <w:p w14:paraId="7BDB159A" w14:textId="77777777" w:rsidR="003A4C89" w:rsidRPr="003A4C89" w:rsidRDefault="003A4C89" w:rsidP="00CD67BB">
      <w:pPr>
        <w:pStyle w:val="ListBullet"/>
        <w:spacing w:before="0"/>
      </w:pPr>
      <w:r w:rsidRPr="003A4C89">
        <w:t>% of vendor orgs using self-service distribution management</w:t>
      </w:r>
    </w:p>
    <w:p w14:paraId="7862BEBA" w14:textId="39C346AD" w:rsidR="003A4C89" w:rsidRPr="003A4C89" w:rsidRDefault="003A4C89" w:rsidP="00CD67BB">
      <w:pPr>
        <w:pStyle w:val="ListBullet"/>
        <w:spacing w:before="0"/>
      </w:pPr>
      <w:r w:rsidRPr="003A4C89">
        <w:t>Reduction in “manual re-pull” requests among onboarded vendors</w:t>
      </w:r>
    </w:p>
    <w:p w14:paraId="7F3BDDE7" w14:textId="77777777" w:rsidR="003A4C89" w:rsidRPr="003A4C89" w:rsidRDefault="003A4C89" w:rsidP="00CD67BB">
      <w:pPr>
        <w:pStyle w:val="BodyText"/>
        <w:spacing w:before="80" w:after="0"/>
      </w:pPr>
      <w:r w:rsidRPr="003A4C89">
        <w:rPr>
          <w:b/>
          <w:bCs/>
        </w:rPr>
        <w:t>60–90 days (behavior shift):</w:t>
      </w:r>
    </w:p>
    <w:p w14:paraId="36BCDC2F" w14:textId="77777777" w:rsidR="003A4C89" w:rsidRPr="003A4C89" w:rsidRDefault="003A4C89" w:rsidP="00CD67BB">
      <w:pPr>
        <w:pStyle w:val="ListBullet"/>
        <w:spacing w:before="0"/>
      </w:pPr>
      <w:r w:rsidRPr="003A4C89">
        <w:t>Sustained weekly active usage among revenue-weighted vendor cohort</w:t>
      </w:r>
    </w:p>
    <w:p w14:paraId="0657B4E5" w14:textId="77777777" w:rsidR="003A4C89" w:rsidRPr="003A4C89" w:rsidRDefault="003A4C89" w:rsidP="00CD67BB">
      <w:pPr>
        <w:pStyle w:val="ListBullet"/>
        <w:spacing w:before="0"/>
      </w:pPr>
      <w:r w:rsidRPr="003A4C89">
        <w:t>Measurable reduction in mid-week re-pull/support contacts for onboarded vendors vs baseline</w:t>
      </w:r>
    </w:p>
    <w:p w14:paraId="7BBBA37D" w14:textId="55168DC8" w:rsidR="003A4C89" w:rsidRPr="003A4C89" w:rsidRDefault="003A4C89" w:rsidP="00CD67BB">
      <w:pPr>
        <w:pStyle w:val="ListBullet"/>
        <w:spacing w:before="0"/>
      </w:pPr>
      <w:r w:rsidRPr="003A4C89">
        <w:t>Reduction in Chewy-managed distribution list changes as default workflow</w:t>
      </w:r>
    </w:p>
    <w:p w14:paraId="687BF469" w14:textId="77777777" w:rsidR="003A4C89" w:rsidRPr="003A4C89" w:rsidRDefault="003A4C89" w:rsidP="00CD67BB">
      <w:pPr>
        <w:pStyle w:val="BodyText"/>
        <w:spacing w:before="80" w:after="0"/>
      </w:pPr>
      <w:r w:rsidRPr="003A4C89">
        <w:rPr>
          <w:b/>
          <w:bCs/>
        </w:rPr>
        <w:t>12 months (outcome):</w:t>
      </w:r>
    </w:p>
    <w:p w14:paraId="765C3FAD" w14:textId="77777777" w:rsidR="003A4C89" w:rsidRPr="003A4C89" w:rsidRDefault="003A4C89" w:rsidP="00CD67BB">
      <w:pPr>
        <w:pStyle w:val="ListBullet"/>
        <w:spacing w:before="0"/>
      </w:pPr>
      <w:r w:rsidRPr="003A4C89">
        <w:t>Majority of CPFR-covered revenue represented by active portal usage</w:t>
      </w:r>
    </w:p>
    <w:p w14:paraId="48A30CEF" w14:textId="2647BBD2" w:rsidR="003A4C89" w:rsidRPr="003A4C89" w:rsidRDefault="003A4C89" w:rsidP="00CD67BB">
      <w:pPr>
        <w:pStyle w:val="ListBullet"/>
        <w:spacing w:before="0"/>
      </w:pPr>
      <w:r w:rsidRPr="003A4C89">
        <w:t>Verified ISM capacity reclaimed (measured via deflected request volume + time-per-request estimates)</w:t>
      </w:r>
    </w:p>
    <w:p w14:paraId="24067D99" w14:textId="6DC57AA3" w:rsidR="003A4C89" w:rsidRDefault="003A4C89" w:rsidP="003A4C89">
      <w:pPr>
        <w:pStyle w:val="BodyText"/>
      </w:pPr>
      <w:r w:rsidRPr="003A4C89">
        <w:t>Instrumentation will be implemented via standard CPH telemetry (page/report retrieval events, admin changes), plus tagging of CPFR support contacts to compare onboarded vs not-yet-onboarded cohorts.</w:t>
      </w:r>
    </w:p>
    <w:p w14:paraId="413F61E6" w14:textId="54720AA6" w:rsidR="00CD67BB" w:rsidRPr="00CD67BB" w:rsidRDefault="00CD67BB" w:rsidP="00CD67BB">
      <w:pPr>
        <w:pStyle w:val="BodyText"/>
        <w:rPr>
          <w:b/>
          <w:bCs/>
        </w:rPr>
      </w:pPr>
      <w:r w:rsidRPr="00CD67BB">
        <w:rPr>
          <w:b/>
          <w:bCs/>
        </w:rPr>
        <w:t>Q: What engineering resourc</w:t>
      </w:r>
      <w:r>
        <w:rPr>
          <w:b/>
          <w:bCs/>
        </w:rPr>
        <w:t>es are</w:t>
      </w:r>
      <w:r w:rsidRPr="00CD67BB">
        <w:rPr>
          <w:b/>
          <w:bCs/>
        </w:rPr>
        <w:t xml:space="preserve"> required, what are the milestones, and what is the critical path?</w:t>
      </w:r>
    </w:p>
    <w:p w14:paraId="62642EB3" w14:textId="77777777" w:rsidR="00CD67BB" w:rsidRPr="00CD67BB" w:rsidRDefault="00CD67BB" w:rsidP="00CD67BB">
      <w:pPr>
        <w:pStyle w:val="BodyText"/>
      </w:pPr>
      <w:r w:rsidRPr="00CD67BB">
        <w:t xml:space="preserve">The remaining work is </w:t>
      </w:r>
      <w:r w:rsidRPr="00CD67BB">
        <w:rPr>
          <w:b/>
          <w:bCs/>
        </w:rPr>
        <w:t>CPH portal integration</w:t>
      </w:r>
      <w:r w:rsidRPr="00CD67BB">
        <w:t xml:space="preserve"> against a CPFR data platform that is delivering March 31, 2026. The delivery plan is milestone-driven to reduce risk and allow incremental progress even under constrained capacity.</w:t>
      </w:r>
    </w:p>
    <w:p w14:paraId="6686BBC1" w14:textId="77777777" w:rsidR="00CD67BB" w:rsidRPr="00CD67BB" w:rsidRDefault="00CD67BB" w:rsidP="00CD67BB">
      <w:pPr>
        <w:pStyle w:val="BodyText"/>
        <w:spacing w:after="80"/>
      </w:pPr>
      <w:r w:rsidRPr="00CD67BB">
        <w:rPr>
          <w:b/>
          <w:bCs/>
        </w:rPr>
        <w:t>Milestones (example structure):</w:t>
      </w:r>
    </w:p>
    <w:p w14:paraId="59DDD7CB" w14:textId="77777777" w:rsidR="00CD67BB" w:rsidRPr="00CD67BB" w:rsidRDefault="00CD67BB" w:rsidP="00CD67BB">
      <w:pPr>
        <w:pStyle w:val="ListNumber"/>
        <w:spacing w:before="80"/>
      </w:pPr>
      <w:r w:rsidRPr="00CD67BB">
        <w:t>Entitlement + vendor isolation wiring in CPH (auth, vendor mapping, access rules)</w:t>
      </w:r>
    </w:p>
    <w:p w14:paraId="2EAC6A2D" w14:textId="37DB3573" w:rsidR="00CD67BB" w:rsidRPr="00CD67BB" w:rsidRDefault="00CD67BB" w:rsidP="00CD67BB">
      <w:pPr>
        <w:pStyle w:val="ListNumber"/>
        <w:spacing w:before="80"/>
      </w:pPr>
      <w:r w:rsidRPr="00CD67BB">
        <w:t>Report retrieval UX (current report + historical access)</w:t>
      </w:r>
    </w:p>
    <w:p w14:paraId="27721B9D" w14:textId="77777777" w:rsidR="00CD67BB" w:rsidRPr="00CD67BB" w:rsidRDefault="00CD67BB" w:rsidP="00CD67BB">
      <w:pPr>
        <w:pStyle w:val="ListNumber"/>
        <w:spacing w:before="80"/>
      </w:pPr>
      <w:r w:rsidRPr="00CD67BB">
        <w:t>Vendor-managed distribution administration (add/remove recipients, auditability)</w:t>
      </w:r>
    </w:p>
    <w:p w14:paraId="5F9A12A7" w14:textId="77777777" w:rsidR="00CD67BB" w:rsidRPr="00CD67BB" w:rsidRDefault="00CD67BB" w:rsidP="00CD67BB">
      <w:pPr>
        <w:pStyle w:val="ListNumber"/>
        <w:spacing w:before="80"/>
      </w:pPr>
      <w:r w:rsidRPr="00CD67BB">
        <w:t>Daily refresh surfacing + validation (data availability and parity checks vs weekly output)</w:t>
      </w:r>
    </w:p>
    <w:p w14:paraId="34CA687C" w14:textId="77777777" w:rsidR="00CD67BB" w:rsidRPr="00CD67BB" w:rsidRDefault="00CD67BB" w:rsidP="00CD67BB">
      <w:pPr>
        <w:pStyle w:val="ListNumber"/>
        <w:spacing w:before="80"/>
      </w:pPr>
      <w:r w:rsidRPr="00CD67BB">
        <w:t>Pilot tier rollout → phased GA (support readiness, onboarding comms)</w:t>
      </w:r>
    </w:p>
    <w:p w14:paraId="18F4FBE6" w14:textId="77777777" w:rsidR="00CD67BB" w:rsidRPr="00CD67BB" w:rsidRDefault="00CD67BB" w:rsidP="00CD67BB">
      <w:pPr>
        <w:pStyle w:val="BodyText"/>
      </w:pPr>
      <w:r w:rsidRPr="00CD67BB">
        <w:rPr>
          <w:b/>
          <w:bCs/>
        </w:rPr>
        <w:t>Critical path:</w:t>
      </w:r>
      <w:r w:rsidRPr="00CD67BB">
        <w:t xml:space="preserve"> a named CPH technical counterpart + assigned CPH engineering capacity. The platform work is not the gating factor; the gating factor is portal build capacity and integration sequencing within CPH.</w:t>
      </w:r>
    </w:p>
    <w:p w14:paraId="11B2B71A" w14:textId="24803DC7" w:rsidR="00C37A9B" w:rsidRDefault="005373C1">
      <w:pPr>
        <w:pStyle w:val="BodyText"/>
      </w:pPr>
      <w:r>
        <w:rPr>
          <w:b/>
          <w:bCs/>
        </w:rPr>
        <w:t>Q: What is the current state of business requirements, user research, and design readiness</w:t>
      </w:r>
      <w:r w:rsidR="00CD67BB">
        <w:rPr>
          <w:b/>
          <w:bCs/>
        </w:rPr>
        <w:t xml:space="preserve"> documentation</w:t>
      </w:r>
      <w:r>
        <w:rPr>
          <w:b/>
          <w:bCs/>
        </w:rPr>
        <w:t>?</w:t>
      </w:r>
    </w:p>
    <w:p w14:paraId="10271DE4" w14:textId="5DA1CABE" w:rsidR="00C37A9B" w:rsidRDefault="005373C1">
      <w:pPr>
        <w:pStyle w:val="BodyText"/>
      </w:pPr>
      <w:r>
        <w:t>Business requirements are fully documented in a consolidated BRD covering both the CPFR and Vendor Compliance workstreams. User stories have been written and mapped to portal capabilities. Wireframes for the vendor-facing experience have been produced. A feasibility and alternatives analysis has been completed. Vendor sentiment has been validated through a sample-based survey yielding 96% unweighted approval, and major enterprise vendors including Blue Buffalo, Mars, and Nestlé Purina have explicitly requested portal-based access. What remains is translating these business</w:t>
      </w:r>
      <w:r w:rsidR="00B20027">
        <w:t>-</w:t>
      </w:r>
      <w:r>
        <w:t>artifacts into engineering plans—a process that requires active engagement from the CPH engineering team.</w:t>
      </w:r>
    </w:p>
    <w:p w14:paraId="47B26535" w14:textId="77777777" w:rsidR="00C37A9B" w:rsidRDefault="005373C1">
      <w:pPr>
        <w:pStyle w:val="BodyText"/>
      </w:pPr>
      <w:r>
        <w:rPr>
          <w:b/>
          <w:bCs/>
        </w:rPr>
        <w:t>Q: What are the primary risks to delivery, and what happens if we don’t proceed?</w:t>
      </w:r>
    </w:p>
    <w:p w14:paraId="21E170A2" w14:textId="77777777" w:rsidR="00C37A9B" w:rsidRDefault="005373C1">
      <w:pPr>
        <w:pStyle w:val="BodyText"/>
      </w:pPr>
      <w:r>
        <w:t>The primary delivery risks are: (1) CPH engineering capacity remains unassigned, leaving the portal integration without a development team—this is the single largest risk and is a resource decision, not a technical obstacle; (2) the VC workstream unstalls and legitimately consumes CPH capacity first, pushing CPFR module work further out despite the platform being ready; and (3) continued organizational churn erodes the institutional knowledge and cross-team relationships needed to execute, a pattern that has already removed five key contributors from this initiative.</w:t>
      </w:r>
    </w:p>
    <w:p w14:paraId="60AAAA2D" w14:textId="44F70749" w:rsidR="00C37A9B" w:rsidRDefault="005373C1">
      <w:pPr>
        <w:pStyle w:val="BodyText"/>
      </w:pPr>
      <w:r>
        <w:t xml:space="preserve">If we don’t proceed, a completed, governed data platform built for vendor-facing consumption sits idle. The email-based distribution process continues to scale manually with a vendor base approaching 4,150, with maintenance demands growing disproportionately. Chewy retains sole responsibility for managing vendor distribution lists, including the </w:t>
      </w:r>
      <w:r>
        <w:lastRenderedPageBreak/>
        <w:t xml:space="preserve">exposure to misdirected proprietary data—a risk that has already materialized in isolated incidents and that grows with every vendor added to the system. And the investment in business requirements, user stories, wireframes, and feasibility analysis—work </w:t>
      </w:r>
      <w:r w:rsidR="00B20027">
        <w:t>done</w:t>
      </w:r>
      <w:r>
        <w:t xml:space="preserve"> specifically to de-risk and accelerate the portal build—depreciates as organizational context erode</w:t>
      </w:r>
      <w:r w:rsidR="00B20027">
        <w:t>s.</w:t>
      </w:r>
    </w:p>
    <w:p w14:paraId="17B3790C" w14:textId="77777777" w:rsidR="00C37A9B" w:rsidRDefault="005373C1">
      <w:pPr>
        <w:pStyle w:val="Heading2"/>
      </w:pPr>
      <w:bookmarkStart w:id="20" w:name="external-faq"/>
      <w:bookmarkEnd w:id="10"/>
      <w:r>
        <w:t>EXTERNAL FAQ</w:t>
      </w:r>
    </w:p>
    <w:p w14:paraId="5B378ED5" w14:textId="77777777" w:rsidR="00C37A9B" w:rsidRDefault="005373C1">
      <w:pPr>
        <w:pStyle w:val="FirstParagraph"/>
      </w:pPr>
      <w:r>
        <w:rPr>
          <w:b/>
          <w:bCs/>
        </w:rPr>
        <w:t>Q: Will I still receive my weekly CPFR report by email?</w:t>
      </w:r>
    </w:p>
    <w:p w14:paraId="7D6F7A89" w14:textId="77777777" w:rsidR="00C37A9B" w:rsidRDefault="005373C1">
      <w:pPr>
        <w:pStyle w:val="BodyText"/>
      </w:pPr>
      <w:r>
        <w:t>Yes. Your weekly emailed CPFR report continues unchanged. Chewy Partner Hub provides an additional access channel—it does not replace your existing email delivery. You will receive the same report on the same schedule, with the portal available whenever you need to access data between reports or retrieve historical copies.</w:t>
      </w:r>
    </w:p>
    <w:p w14:paraId="38BCCEF5" w14:textId="77777777" w:rsidR="00C37A9B" w:rsidRDefault="005373C1">
      <w:pPr>
        <w:pStyle w:val="BodyText"/>
      </w:pPr>
      <w:r>
        <w:rPr>
          <w:b/>
          <w:bCs/>
        </w:rPr>
        <w:t>Q: How do I manage who on my team has access to our data in Chewy Partner Hub?</w:t>
      </w:r>
    </w:p>
    <w:p w14:paraId="3E5C6A24" w14:textId="77777777" w:rsidR="00C37A9B" w:rsidRDefault="005373C1">
      <w:pPr>
        <w:pStyle w:val="BodyText"/>
      </w:pPr>
      <w:r>
        <w:t>Chewy Partner Hub includes a self-service administration panel where you can add, remove, or update recipients within your organization at any time. Changes take effect immediately—no need to submit a request through your Chewy Instock Manager or CPFR team and wait for it to be processed. You control who on your team receives reports and who has portal access, and you can update those settings as your team changes.</w:t>
      </w:r>
    </w:p>
    <w:p w14:paraId="7A60B872" w14:textId="77777777" w:rsidR="00C37A9B" w:rsidRDefault="005373C1">
      <w:pPr>
        <w:pStyle w:val="BodyText"/>
      </w:pPr>
      <w:r>
        <w:rPr>
          <w:b/>
          <w:bCs/>
        </w:rPr>
        <w:t>Q: Is the data in the portal the same data I get in my weekly report, or is it different?</w:t>
      </w:r>
    </w:p>
    <w:p w14:paraId="6B90F7A8" w14:textId="0613205F" w:rsidR="00C37A9B" w:rsidRDefault="005373C1">
      <w:pPr>
        <w:pStyle w:val="BodyText"/>
      </w:pPr>
      <w:r>
        <w:t xml:space="preserve">The portal serves the same CPFR data that powers your weekly emailed report—forecast, inventory, and replenishment metrics specific to your organization. The difference is freshness and availability: portal data is refreshed daily rather than weekly, and you can access it any </w:t>
      </w:r>
      <w:r w:rsidR="00B20027">
        <w:t>time. Reports in the portal</w:t>
      </w:r>
      <w:r>
        <w:t xml:space="preserve"> reflect the same data </w:t>
      </w:r>
      <w:r w:rsidR="00B20027">
        <w:t>your ISMs or CMs would see.</w:t>
      </w:r>
    </w:p>
    <w:p w14:paraId="131A949F" w14:textId="77777777" w:rsidR="00C37A9B" w:rsidRDefault="005373C1">
      <w:pPr>
        <w:pStyle w:val="BodyText"/>
      </w:pPr>
      <w:r>
        <w:rPr>
          <w:b/>
          <w:bCs/>
        </w:rPr>
        <w:t>Q: When will my company have access, and what do I need to do to get started?</w:t>
      </w:r>
    </w:p>
    <w:p w14:paraId="7DC4543A" w14:textId="22EB9074" w:rsidR="00C37A9B" w:rsidRDefault="005373C1">
      <w:pPr>
        <w:pStyle w:val="BodyText"/>
      </w:pPr>
      <w:r>
        <w:t>Access will be rolled out in phases, organized by vendor tier</w:t>
      </w:r>
      <w:r w:rsidR="00B20027">
        <w:t xml:space="preserve"> and</w:t>
      </w:r>
      <w:r>
        <w:t xml:space="preserve"> following the module’s launch in Chewy Partner Hub. Your Chewy Instock Manager or CPFR team will notify you when your organization is eligible and provide onboarding instructions. There is no cost to participate, and vendors already enrolled in CPFR will not need to re-registe</w:t>
      </w:r>
      <w:r w:rsidR="00B20027">
        <w:t>r.</w:t>
      </w:r>
    </w:p>
    <w:p w14:paraId="6FE0254F" w14:textId="77777777" w:rsidR="00C37A9B" w:rsidRDefault="005373C1">
      <w:pPr>
        <w:pStyle w:val="BodyText"/>
      </w:pPr>
      <w:r>
        <w:rPr>
          <w:b/>
          <w:bCs/>
        </w:rPr>
        <w:t>Q: Will Chewy Partner Hub include other types of supply chain data in the future?</w:t>
      </w:r>
    </w:p>
    <w:p w14:paraId="05044BA7" w14:textId="622CE893" w:rsidR="00C37A9B" w:rsidRDefault="005373C1">
      <w:pPr>
        <w:pStyle w:val="BodyText"/>
      </w:pPr>
      <w:r>
        <w:t xml:space="preserve">Chewy Partner Hub is designed as a platform for supply chain collaboration between Chewy and its vendor partners. The CPFR module is far from the last capability planned for this foundation, and additional supply chain capabilities are </w:t>
      </w:r>
      <w:r w:rsidR="00B20027">
        <w:t xml:space="preserve">already in the </w:t>
      </w:r>
      <w:r>
        <w:t>development</w:t>
      </w:r>
      <w:r w:rsidR="00B20027">
        <w:t xml:space="preserve"> pipeline</w:t>
      </w:r>
      <w:r>
        <w:t>. We look forward to sharing more details as those become available.</w:t>
      </w:r>
    </w:p>
    <w:p w14:paraId="21631AA7" w14:textId="77777777" w:rsidR="00C37A9B" w:rsidRDefault="005373C1">
      <w:pPr>
        <w:pStyle w:val="Heading2"/>
      </w:pPr>
      <w:bookmarkStart w:id="21" w:name="top-assumptions-requiring-validation"/>
      <w:bookmarkEnd w:id="20"/>
      <w:r>
        <w:t>TOP ASSUMPTIONS REQUIRING VALIDATION</w:t>
      </w:r>
    </w:p>
    <w:p w14:paraId="72022F23" w14:textId="763A3713" w:rsidR="00C37A9B" w:rsidRPr="00AD2396" w:rsidRDefault="005373C1" w:rsidP="00AD2396">
      <w:pPr>
        <w:pStyle w:val="ListNumber"/>
      </w:pPr>
      <w:r w:rsidRPr="00D15DA2">
        <w:rPr>
          <w:b/>
          <w:bCs/>
        </w:rPr>
        <w:t>Revenue-weighted vendor adoption will reach majority within 12 months of launch.</w:t>
      </w:r>
      <w:r w:rsidRPr="00AD2396">
        <w:t xml:space="preserve"> Supported by 96% unweighted approval rating (sample-based) and explicit enterprise vendor requests for portal access. However, approval of concept and actual adoption are different behaviors</w:t>
      </w:r>
      <w:r w:rsidR="00B20027">
        <w:t>;</w:t>
      </w:r>
      <w:r w:rsidRPr="00AD2396">
        <w:t xml:space="preserve"> adoption rates across the long tail of smal</w:t>
      </w:r>
      <w:r w:rsidR="00B20027">
        <w:t>l</w:t>
      </w:r>
      <w:r w:rsidRPr="00AD2396">
        <w:t xml:space="preserve"> vendors are untested.</w:t>
      </w:r>
    </w:p>
    <w:p w14:paraId="58D753F0" w14:textId="77777777" w:rsidR="00C37A9B" w:rsidRPr="00AD2396" w:rsidRDefault="005373C1" w:rsidP="00AD2396">
      <w:pPr>
        <w:pStyle w:val="ListNumber"/>
      </w:pPr>
      <w:r w:rsidRPr="00D15DA2">
        <w:rPr>
          <w:b/>
          <w:bCs/>
        </w:rPr>
        <w:t>CPH engineering capacity can be secured through allocation.</w:t>
      </w:r>
      <w:r w:rsidRPr="00AD2396">
        <w:t xml:space="preserve"> This is the single largest delivery risk. The portal integration requires development capacity from the CPH engineering team, which is currently unassigned to this initiative. Whether allocation alone can sustain the necessary engineering engagement through delivery is unproven.</w:t>
      </w:r>
    </w:p>
    <w:p w14:paraId="57BC128D" w14:textId="77777777" w:rsidR="00C37A9B" w:rsidRPr="00AD2396" w:rsidRDefault="005373C1" w:rsidP="00AD2396">
      <w:pPr>
        <w:pStyle w:val="ListNumber"/>
      </w:pPr>
      <w:r w:rsidRPr="00D15DA2">
        <w:rPr>
          <w:b/>
          <w:bCs/>
        </w:rPr>
        <w:t>The VDS/CPFR scope distinction is clear enough to prevent merchandising pushback.</w:t>
      </w:r>
      <w:r w:rsidRPr="00AD2396">
        <w:t xml:space="preserve"> The internal FAQ answer articulates the differentiation clearly, but it has not been tested with the actual merchandising stakeholders who perceive a revenue threat. If this distinction does not hold under scrutiny, it could become a political blocker.</w:t>
      </w:r>
    </w:p>
    <w:p w14:paraId="6520886E" w14:textId="77777777" w:rsidR="00C37A9B" w:rsidRPr="00AD2396" w:rsidRDefault="005373C1" w:rsidP="00AD2396">
      <w:pPr>
        <w:pStyle w:val="ListNumber"/>
      </w:pPr>
      <w:r w:rsidRPr="00D15DA2">
        <w:rPr>
          <w:b/>
          <w:bCs/>
        </w:rPr>
        <w:t>No PM or TPM is currently assigned to the CPFR-in-CPH initiative</w:t>
      </w:r>
      <w:r w:rsidRPr="00AD2396">
        <w:t>. The cross-team coordination required for delivery—translation between business requirements and engineering execution, dependency tracking, and stakeholder alignment—is currently being carried through allocation without formal role assignment. Whether this is sustainable through delivery is an open question.</w:t>
      </w:r>
    </w:p>
    <w:p w14:paraId="37EA7384" w14:textId="79C83F5F" w:rsidR="00C37A9B" w:rsidRDefault="005373C1">
      <w:pPr>
        <w:pStyle w:val="FirstParagraph"/>
      </w:pPr>
      <w:r>
        <w:rPr>
          <w:i/>
          <w:iCs/>
        </w:rPr>
        <w:t>This document is structured to serve as a standalone CPFR narrative and as a foundational backbone for integration with a Vendor Compliance PRFAQ when that workstream’s details are finalized.</w:t>
      </w:r>
      <w:bookmarkEnd w:id="0"/>
      <w:bookmarkEnd w:id="21"/>
    </w:p>
    <w:sectPr w:rsidR="00C37A9B" w:rsidSect="00166762">
      <w:footnotePr>
        <w:numRestart w:val="eachSect"/>
      </w:footnotePr>
      <w:pgSz w:w="12240" w:h="15840"/>
      <w:pgMar w:top="720" w:right="720" w:bottom="720" w:left="720" w:header="432" w:footer="432" w:gutter="288"/>
      <w:lnNumType w:countBy="1" w:restart="continuous"/>
      <w:cols w:space="720"/>
      <w:docGrid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 w:author="Nathaniel Nelson" w:date="2026-03-10T13:39:00Z" w:initials="NN">
    <w:p w14:paraId="7CBE6D80" w14:textId="77777777" w:rsidR="00461086" w:rsidRDefault="00461086" w:rsidP="00461086">
      <w:pPr>
        <w:pStyle w:val="CommentText"/>
      </w:pPr>
      <w:r>
        <w:rPr>
          <w:rStyle w:val="CommentReference"/>
        </w:rPr>
        <w:annotationRef/>
      </w:r>
      <w:r>
        <w:t>Start with being able to see a snapshot of their business and where they need to investigate</w:t>
      </w:r>
    </w:p>
  </w:comment>
  <w:comment w:id="4" w:author="Nathaniel Nelson" w:date="2026-03-10T13:40:00Z" w:initials="NN">
    <w:p w14:paraId="320A8321" w14:textId="77777777" w:rsidR="00461086" w:rsidRDefault="00461086" w:rsidP="00461086">
      <w:pPr>
        <w:pStyle w:val="CommentText"/>
      </w:pPr>
      <w:r>
        <w:rPr>
          <w:rStyle w:val="CommentReference"/>
        </w:rPr>
        <w:annotationRef/>
      </w:r>
      <w:r>
        <w:t>Aka what is the “Value” in descending oirder</w:t>
      </w:r>
    </w:p>
  </w:comment>
  <w:comment w:id="5" w:author="Nathaniel Nelson" w:date="2026-03-10T13:40:00Z" w:initials="NN">
    <w:p w14:paraId="56D51369" w14:textId="77777777" w:rsidR="00461086" w:rsidRDefault="00461086" w:rsidP="00461086">
      <w:pPr>
        <w:pStyle w:val="CommentText"/>
      </w:pPr>
      <w:r>
        <w:rPr>
          <w:rStyle w:val="CommentReference"/>
        </w:rPr>
        <w:annotationRef/>
      </w:r>
      <w:r>
        <w:t>How many?</w:t>
      </w:r>
    </w:p>
  </w:comment>
  <w:comment w:id="6" w:author="Nathaniel Nelson" w:date="2026-03-10T13:41:00Z" w:initials="NN">
    <w:p w14:paraId="5E6A5300" w14:textId="77777777" w:rsidR="00461086" w:rsidRDefault="00461086" w:rsidP="00461086">
      <w:pPr>
        <w:pStyle w:val="CommentText"/>
      </w:pPr>
      <w:r>
        <w:rPr>
          <w:rStyle w:val="CommentReference"/>
        </w:rPr>
        <w:annotationRef/>
      </w:r>
      <w:r>
        <w:t>Don’t start the doc with vendor questions…… showcase the “Value” like Stephen talked about….. Why do we care…. People don’t care about rerouted requests</w:t>
      </w:r>
    </w:p>
  </w:comment>
  <w:comment w:id="7" w:author="Nathaniel Nelson" w:date="2026-03-10T13:42:00Z" w:initials="NN">
    <w:p w14:paraId="1115DD3C" w14:textId="77777777" w:rsidR="00461086" w:rsidRDefault="00461086" w:rsidP="00461086">
      <w:pPr>
        <w:pStyle w:val="CommentText"/>
      </w:pPr>
      <w:r>
        <w:rPr>
          <w:rStyle w:val="CommentReference"/>
        </w:rPr>
        <w:annotationRef/>
      </w:r>
      <w:r>
        <w:t>Still relevant, put further down</w:t>
      </w:r>
    </w:p>
  </w:comment>
  <w:comment w:id="8" w:author="Nathaniel Nelson" w:date="2026-03-10T13:45:00Z" w:initials="NN">
    <w:p w14:paraId="01C12CCF" w14:textId="77777777" w:rsidR="00461086" w:rsidRDefault="00461086" w:rsidP="00461086">
      <w:pPr>
        <w:pStyle w:val="CommentText"/>
      </w:pPr>
      <w:r>
        <w:rPr>
          <w:rStyle w:val="CommentReference"/>
        </w:rPr>
        <w:annotationRef/>
      </w:r>
      <w:r>
        <w:t xml:space="preserve">This is good. As I think of value it’s 1.) Quick access to see business performance (aka tableau), 2.) less time for team members to navigate the files and focus time, 3.) for less busy savy vendors, we are spoon feeding it and doing the hard work for them, 4.) we are able to hold them accountable to accessing the data, 5.) better contact management…… maybe I missed one but this is what comes to mind </w:t>
      </w:r>
    </w:p>
  </w:comment>
  <w:comment w:id="9" w:author="Nathaniel Nelson" w:date="2026-03-10T13:45:00Z" w:initials="NN">
    <w:p w14:paraId="2421CC1A" w14:textId="77777777" w:rsidR="00461086" w:rsidRDefault="00461086" w:rsidP="00461086">
      <w:pPr>
        <w:pStyle w:val="CommentText"/>
      </w:pPr>
      <w:r>
        <w:rPr>
          <w:rStyle w:val="CommentReference"/>
        </w:rPr>
        <w:annotationRef/>
      </w:r>
      <w:r>
        <w:t>6.) Vendors like Amazon and Walmart do this today</w:t>
      </w:r>
    </w:p>
  </w:comment>
  <w:comment w:id="11" w:author="Nathaniel Nelson" w:date="2026-03-10T13:48:00Z" w:initials="NN">
    <w:p w14:paraId="43DA2B30" w14:textId="77777777" w:rsidR="00461086" w:rsidRDefault="00461086" w:rsidP="00461086">
      <w:pPr>
        <w:pStyle w:val="CommentText"/>
      </w:pPr>
      <w:r>
        <w:rPr>
          <w:rStyle w:val="CommentReference"/>
        </w:rPr>
        <w:annotationRef/>
      </w:r>
      <w:r>
        <w:t>This jumps straight into the data. Why did it not make the cut and what has changed now?</w:t>
      </w:r>
    </w:p>
  </w:comment>
  <w:comment w:id="12" w:author="Nathaniel Nelson" w:date="2026-03-10T13:50:00Z" w:initials="NN">
    <w:p w14:paraId="740CE657" w14:textId="77777777" w:rsidR="00B9782C" w:rsidRDefault="00B9782C" w:rsidP="00B9782C">
      <w:pPr>
        <w:pStyle w:val="CommentText"/>
      </w:pPr>
      <w:r>
        <w:rPr>
          <w:rStyle w:val="CommentReference"/>
        </w:rPr>
        <w:annotationRef/>
      </w:r>
      <w:r>
        <w:t xml:space="preserve">I’d start with the $$$$ entitlement from the paper. </w:t>
      </w:r>
    </w:p>
  </w:comment>
  <w:comment w:id="13" w:author="Nathaniel Nelson" w:date="2026-03-10T13:50:00Z" w:initials="NN">
    <w:p w14:paraId="1731450A" w14:textId="77777777" w:rsidR="00B9782C" w:rsidRDefault="00B9782C" w:rsidP="00B9782C">
      <w:pPr>
        <w:pStyle w:val="CommentText"/>
      </w:pPr>
      <w:r>
        <w:rPr>
          <w:rStyle w:val="CommentReference"/>
        </w:rPr>
        <w:annotationRef/>
      </w:r>
      <w:r>
        <w:t xml:space="preserve">How much time? This also comes from the paper on entitlement </w:t>
      </w:r>
    </w:p>
  </w:comment>
  <w:comment w:id="15" w:author="Nathaniel Nelson" w:date="2026-03-10T13:51:00Z" w:initials="NN">
    <w:p w14:paraId="053EC6F6" w14:textId="77777777" w:rsidR="00B9782C" w:rsidRDefault="00B9782C" w:rsidP="00B9782C">
      <w:pPr>
        <w:pStyle w:val="CommentText"/>
      </w:pPr>
      <w:r>
        <w:rPr>
          <w:rStyle w:val="CommentReference"/>
        </w:rPr>
        <w:annotationRef/>
      </w:r>
      <w:r>
        <w:t xml:space="preserve">Add a bullet point for the numerous pissed off vendors that are tired of getting 40+ emails a month </w:t>
      </w:r>
    </w:p>
  </w:comment>
  <w:comment w:id="16" w:author="Nathaniel Nelson" w:date="2026-03-10T13:52:00Z" w:initials="NN">
    <w:p w14:paraId="0DBCC6D8" w14:textId="77777777" w:rsidR="00B9782C" w:rsidRDefault="00B9782C" w:rsidP="00B9782C">
      <w:pPr>
        <w:pStyle w:val="CommentText"/>
      </w:pPr>
      <w:r>
        <w:rPr>
          <w:rStyle w:val="CommentReference"/>
        </w:rPr>
        <w:annotationRef/>
      </w:r>
      <w:r>
        <w:t>Aka bad experience with this program and leads to not interacting with it. We need to foster adoption</w:t>
      </w:r>
    </w:p>
  </w:comment>
  <w:comment w:id="14" w:author="Nathaniel Nelson" w:date="2026-03-10T13:54:00Z" w:initials="NN">
    <w:p w14:paraId="6B1DBA4B" w14:textId="77777777" w:rsidR="00B9782C" w:rsidRDefault="00B9782C" w:rsidP="00B9782C">
      <w:pPr>
        <w:pStyle w:val="CommentText"/>
      </w:pPr>
      <w:r>
        <w:rPr>
          <w:rStyle w:val="CommentReference"/>
        </w:rPr>
        <w:annotationRef/>
      </w:r>
      <w:r>
        <w:t>What about the cost of common sense……. We are forgoing a system and a $120k engineer w/ a value of ~12M, that does not make sense</w:t>
      </w:r>
    </w:p>
  </w:comment>
  <w:comment w:id="17" w:author="Nathaniel Nelson" w:date="2026-03-10T13:53:00Z" w:initials="NN">
    <w:p w14:paraId="003195A7" w14:textId="77777777" w:rsidR="00B9782C" w:rsidRDefault="00B9782C" w:rsidP="00B9782C">
      <w:pPr>
        <w:pStyle w:val="CommentText"/>
      </w:pPr>
      <w:r>
        <w:rPr>
          <w:rStyle w:val="CommentReference"/>
        </w:rPr>
        <w:annotationRef/>
      </w:r>
      <w:r>
        <w:t xml:space="preserve">Put this under the question </w:t>
      </w:r>
    </w:p>
  </w:comment>
  <w:comment w:id="18" w:author="Nathaniel Nelson" w:date="2026-03-10T13:53:00Z" w:initials="NN">
    <w:p w14:paraId="5973BEEE" w14:textId="77777777" w:rsidR="00B9782C" w:rsidRDefault="00B9782C" w:rsidP="00B9782C">
      <w:pPr>
        <w:pStyle w:val="CommentText"/>
      </w:pPr>
      <w:r>
        <w:rPr>
          <w:rStyle w:val="CommentReference"/>
        </w:rPr>
        <w:annotationRef/>
      </w:r>
      <w:r>
        <w:t xml:space="preserve">Also, it was rejected b/c stakeholders did not fully understand the value which we closed that gap and now have their support </w:t>
      </w:r>
    </w:p>
  </w:comment>
  <w:comment w:id="19" w:author="Nathaniel Nelson" w:date="2026-03-10T13:57:00Z" w:initials="NN">
    <w:p w14:paraId="418EACDA" w14:textId="77777777" w:rsidR="00B9782C" w:rsidRDefault="00B9782C" w:rsidP="00B9782C">
      <w:pPr>
        <w:pStyle w:val="CommentText"/>
      </w:pPr>
      <w:r>
        <w:rPr>
          <w:rStyle w:val="CommentReference"/>
        </w:rPr>
        <w:annotationRef/>
      </w:r>
      <w:r>
        <w:t>Q2 should be something like “high level what does CPFR on VPH look like”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CBE6D80" w15:done="0"/>
  <w15:commentEx w15:paraId="320A8321" w15:paraIdParent="7CBE6D80" w15:done="0"/>
  <w15:commentEx w15:paraId="56D51369" w15:done="0"/>
  <w15:commentEx w15:paraId="5E6A5300" w15:done="0"/>
  <w15:commentEx w15:paraId="1115DD3C" w15:paraIdParent="5E6A5300" w15:done="0"/>
  <w15:commentEx w15:paraId="01C12CCF" w15:done="0"/>
  <w15:commentEx w15:paraId="2421CC1A" w15:paraIdParent="01C12CCF" w15:done="0"/>
  <w15:commentEx w15:paraId="43DA2B30" w15:done="0"/>
  <w15:commentEx w15:paraId="740CE657" w15:done="0"/>
  <w15:commentEx w15:paraId="1731450A" w15:done="0"/>
  <w15:commentEx w15:paraId="053EC6F6" w15:done="0"/>
  <w15:commentEx w15:paraId="0DBCC6D8" w15:paraIdParent="053EC6F6" w15:done="0"/>
  <w15:commentEx w15:paraId="6B1DBA4B" w15:done="0"/>
  <w15:commentEx w15:paraId="003195A7" w15:done="0"/>
  <w15:commentEx w15:paraId="5973BEEE" w15:paraIdParent="003195A7" w15:done="0"/>
  <w15:commentEx w15:paraId="418EACD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9D0D867" w16cex:dateUtc="2026-03-10T17:39:00Z"/>
  <w16cex:commentExtensible w16cex:durableId="37CB7A49" w16cex:dateUtc="2026-03-10T17:40:00Z"/>
  <w16cex:commentExtensible w16cex:durableId="0875DA90" w16cex:dateUtc="2026-03-10T17:40:00Z"/>
  <w16cex:commentExtensible w16cex:durableId="181CA893" w16cex:dateUtc="2026-03-10T17:41:00Z"/>
  <w16cex:commentExtensible w16cex:durableId="35561095" w16cex:dateUtc="2026-03-10T17:42:00Z"/>
  <w16cex:commentExtensible w16cex:durableId="6F461B58" w16cex:dateUtc="2026-03-10T17:45:00Z"/>
  <w16cex:commentExtensible w16cex:durableId="0E058F39" w16cex:dateUtc="2026-03-10T17:45:00Z"/>
  <w16cex:commentExtensible w16cex:durableId="3413AD5F" w16cex:dateUtc="2026-03-10T17:48:00Z"/>
  <w16cex:commentExtensible w16cex:durableId="57C46690" w16cex:dateUtc="2026-03-10T17:50:00Z"/>
  <w16cex:commentExtensible w16cex:durableId="031E8045" w16cex:dateUtc="2026-03-10T17:50:00Z"/>
  <w16cex:commentExtensible w16cex:durableId="3110E1E1" w16cex:dateUtc="2026-03-10T17:51:00Z"/>
  <w16cex:commentExtensible w16cex:durableId="2E93DCCC" w16cex:dateUtc="2026-03-10T17:52:00Z"/>
  <w16cex:commentExtensible w16cex:durableId="20E0E0AB" w16cex:dateUtc="2026-03-10T17:54:00Z"/>
  <w16cex:commentExtensible w16cex:durableId="13B03DCF" w16cex:dateUtc="2026-03-10T17:53:00Z"/>
  <w16cex:commentExtensible w16cex:durableId="5936EF08" w16cex:dateUtc="2026-03-10T17:53:00Z"/>
  <w16cex:commentExtensible w16cex:durableId="0DA97311" w16cex:dateUtc="2026-03-10T17:5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CBE6D80" w16cid:durableId="09D0D867"/>
  <w16cid:commentId w16cid:paraId="320A8321" w16cid:durableId="37CB7A49"/>
  <w16cid:commentId w16cid:paraId="56D51369" w16cid:durableId="0875DA90"/>
  <w16cid:commentId w16cid:paraId="5E6A5300" w16cid:durableId="181CA893"/>
  <w16cid:commentId w16cid:paraId="1115DD3C" w16cid:durableId="35561095"/>
  <w16cid:commentId w16cid:paraId="01C12CCF" w16cid:durableId="6F461B58"/>
  <w16cid:commentId w16cid:paraId="2421CC1A" w16cid:durableId="0E058F39"/>
  <w16cid:commentId w16cid:paraId="43DA2B30" w16cid:durableId="3413AD5F"/>
  <w16cid:commentId w16cid:paraId="740CE657" w16cid:durableId="57C46690"/>
  <w16cid:commentId w16cid:paraId="1731450A" w16cid:durableId="031E8045"/>
  <w16cid:commentId w16cid:paraId="053EC6F6" w16cid:durableId="3110E1E1"/>
  <w16cid:commentId w16cid:paraId="0DBCC6D8" w16cid:durableId="2E93DCCC"/>
  <w16cid:commentId w16cid:paraId="6B1DBA4B" w16cid:durableId="20E0E0AB"/>
  <w16cid:commentId w16cid:paraId="003195A7" w16cid:durableId="13B03DCF"/>
  <w16cid:commentId w16cid:paraId="5973BEEE" w16cid:durableId="5936EF08"/>
  <w16cid:commentId w16cid:paraId="418EACDA" w16cid:durableId="0DA9731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E36FE8" w14:textId="77777777" w:rsidR="008C5F5F" w:rsidRDefault="008C5F5F" w:rsidP="00AD2396">
      <w:pPr>
        <w:spacing w:after="0"/>
      </w:pPr>
      <w:r>
        <w:separator/>
      </w:r>
    </w:p>
  </w:endnote>
  <w:endnote w:type="continuationSeparator" w:id="0">
    <w:p w14:paraId="6FF77A29" w14:textId="77777777" w:rsidR="008C5F5F" w:rsidRDefault="008C5F5F" w:rsidP="00AD239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F5FB33" w14:textId="77777777" w:rsidR="008C5F5F" w:rsidRDefault="008C5F5F" w:rsidP="00AD2396">
      <w:pPr>
        <w:spacing w:after="0"/>
      </w:pPr>
      <w:r>
        <w:separator/>
      </w:r>
    </w:p>
  </w:footnote>
  <w:footnote w:type="continuationSeparator" w:id="0">
    <w:p w14:paraId="3BBAE2F7" w14:textId="77777777" w:rsidR="008C5F5F" w:rsidRDefault="008C5F5F" w:rsidP="00AD2396">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0CC8ADE6"/>
    <w:lvl w:ilvl="0">
      <w:start w:val="1"/>
      <w:numFmt w:val="decimal"/>
      <w:pStyle w:val="ListNumber2"/>
      <w:lvlText w:val="%1."/>
      <w:lvlJc w:val="left"/>
      <w:pPr>
        <w:tabs>
          <w:tab w:val="num" w:pos="720"/>
        </w:tabs>
        <w:ind w:left="720" w:hanging="360"/>
      </w:pPr>
    </w:lvl>
  </w:abstractNum>
  <w:abstractNum w:abstractNumId="1" w15:restartNumberingAfterBreak="0">
    <w:nsid w:val="FFFFFF88"/>
    <w:multiLevelType w:val="singleLevel"/>
    <w:tmpl w:val="9D487E00"/>
    <w:lvl w:ilvl="0">
      <w:start w:val="1"/>
      <w:numFmt w:val="decimal"/>
      <w:pStyle w:val="ListNumber"/>
      <w:lvlText w:val="%1."/>
      <w:lvlJc w:val="left"/>
      <w:pPr>
        <w:tabs>
          <w:tab w:val="num" w:pos="360"/>
        </w:tabs>
        <w:ind w:left="360" w:hanging="360"/>
      </w:pPr>
    </w:lvl>
  </w:abstractNum>
  <w:abstractNum w:abstractNumId="2" w15:restartNumberingAfterBreak="0">
    <w:nsid w:val="FFFFFF89"/>
    <w:multiLevelType w:val="singleLevel"/>
    <w:tmpl w:val="8A069BB2"/>
    <w:lvl w:ilvl="0">
      <w:start w:val="1"/>
      <w:numFmt w:val="bullet"/>
      <w:pStyle w:val="ListBullet"/>
      <w:lvlText w:val=""/>
      <w:lvlJc w:val="left"/>
      <w:pPr>
        <w:tabs>
          <w:tab w:val="num" w:pos="360"/>
        </w:tabs>
        <w:ind w:left="360" w:hanging="360"/>
      </w:pPr>
      <w:rPr>
        <w:rFonts w:ascii="Symbol" w:hAnsi="Symbol" w:hint="default"/>
      </w:rPr>
    </w:lvl>
  </w:abstractNum>
  <w:abstractNum w:abstractNumId="3" w15:restartNumberingAfterBreak="0">
    <w:nsid w:val="0000A990"/>
    <w:multiLevelType w:val="multilevel"/>
    <w:tmpl w:val="4120C85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4" w15:restartNumberingAfterBreak="0">
    <w:nsid w:val="00A99411"/>
    <w:multiLevelType w:val="multilevel"/>
    <w:tmpl w:val="84264B1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 w15:restartNumberingAfterBreak="0">
    <w:nsid w:val="2FA74E30"/>
    <w:multiLevelType w:val="multilevel"/>
    <w:tmpl w:val="8CCCD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3A5977"/>
    <w:multiLevelType w:val="multilevel"/>
    <w:tmpl w:val="095AF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7375264"/>
    <w:multiLevelType w:val="hybridMultilevel"/>
    <w:tmpl w:val="C28047D4"/>
    <w:lvl w:ilvl="0" w:tplc="CC186B8E">
      <w:numFmt w:val="bullet"/>
      <w:lvlText w:val=""/>
      <w:lvlJc w:val="left"/>
      <w:pPr>
        <w:ind w:left="720" w:hanging="360"/>
      </w:pPr>
      <w:rPr>
        <w:rFonts w:ascii="Symbol" w:eastAsiaTheme="minorEastAsia"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DFF22F1"/>
    <w:multiLevelType w:val="multilevel"/>
    <w:tmpl w:val="6B4A5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8F8261E"/>
    <w:multiLevelType w:val="multilevel"/>
    <w:tmpl w:val="0B82DC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BB40799"/>
    <w:multiLevelType w:val="multilevel"/>
    <w:tmpl w:val="73F85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36177608">
    <w:abstractNumId w:val="3"/>
  </w:num>
  <w:num w:numId="2" w16cid:durableId="15581004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789474823">
    <w:abstractNumId w:val="1"/>
  </w:num>
  <w:num w:numId="4" w16cid:durableId="1016929163">
    <w:abstractNumId w:val="7"/>
  </w:num>
  <w:num w:numId="5" w16cid:durableId="136146389">
    <w:abstractNumId w:val="2"/>
  </w:num>
  <w:num w:numId="6" w16cid:durableId="115373460">
    <w:abstractNumId w:val="10"/>
  </w:num>
  <w:num w:numId="7" w16cid:durableId="891112504">
    <w:abstractNumId w:val="8"/>
  </w:num>
  <w:num w:numId="8" w16cid:durableId="1065643843">
    <w:abstractNumId w:val="6"/>
  </w:num>
  <w:num w:numId="9" w16cid:durableId="168983321">
    <w:abstractNumId w:val="5"/>
  </w:num>
  <w:num w:numId="10" w16cid:durableId="243758994">
    <w:abstractNumId w:val="9"/>
  </w:num>
  <w:num w:numId="11" w16cid:durableId="238440835">
    <w:abstractNumId w:val="0"/>
  </w:num>
  <w:num w:numId="12" w16cid:durableId="996500213">
    <w:abstractNumId w:val="0"/>
  </w:num>
  <w:num w:numId="13" w16cid:durableId="2084716134">
    <w:abstractNumId w:val="0"/>
  </w:num>
  <w:num w:numId="14" w16cid:durableId="1272012080">
    <w:abstractNumId w:val="0"/>
  </w:num>
  <w:num w:numId="15" w16cid:durableId="1850291143">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athaniel Nelson">
    <w15:presenceInfo w15:providerId="AD" w15:userId="S::nnelson2@chewy.com::1dac0f0a-f8ab-4332-8d50-295ba79aa9e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7A9B"/>
    <w:rsid w:val="00094841"/>
    <w:rsid w:val="00111F8A"/>
    <w:rsid w:val="00166762"/>
    <w:rsid w:val="002D7CA0"/>
    <w:rsid w:val="003A4C89"/>
    <w:rsid w:val="0042569C"/>
    <w:rsid w:val="00461086"/>
    <w:rsid w:val="00522C5D"/>
    <w:rsid w:val="005373C1"/>
    <w:rsid w:val="00555368"/>
    <w:rsid w:val="005F26E8"/>
    <w:rsid w:val="00615627"/>
    <w:rsid w:val="007357A1"/>
    <w:rsid w:val="007C48A5"/>
    <w:rsid w:val="00856019"/>
    <w:rsid w:val="008C5F5F"/>
    <w:rsid w:val="009071CE"/>
    <w:rsid w:val="009A63AB"/>
    <w:rsid w:val="00A60FC2"/>
    <w:rsid w:val="00A64F91"/>
    <w:rsid w:val="00AD2396"/>
    <w:rsid w:val="00B20027"/>
    <w:rsid w:val="00B9782C"/>
    <w:rsid w:val="00BF648A"/>
    <w:rsid w:val="00C37A9B"/>
    <w:rsid w:val="00CD67BB"/>
    <w:rsid w:val="00D15DA2"/>
    <w:rsid w:val="00E073DF"/>
    <w:rsid w:val="00F224AC"/>
    <w:rsid w:val="00F92D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F5C25D"/>
  <w15:docId w15:val="{CC857DDE-8070-654D-BC25-6C3B521E8B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D2396"/>
    <w:pPr>
      <w:keepNext/>
      <w:keepLines/>
      <w:spacing w:after="240" w:line="264" w:lineRule="auto"/>
      <w:outlineLvl w:val="0"/>
    </w:pPr>
    <w:rPr>
      <w:rFonts w:asciiTheme="majorHAnsi" w:eastAsiaTheme="majorEastAsia" w:hAnsiTheme="majorHAnsi" w:cstheme="majorBidi"/>
      <w:b/>
      <w:sz w:val="32"/>
      <w:szCs w:val="40"/>
    </w:rPr>
  </w:style>
  <w:style w:type="paragraph" w:styleId="Heading2">
    <w:name w:val="heading 2"/>
    <w:basedOn w:val="Normal"/>
    <w:next w:val="BodyText"/>
    <w:link w:val="Heading2Char"/>
    <w:uiPriority w:val="9"/>
    <w:unhideWhenUsed/>
    <w:qFormat/>
    <w:rsid w:val="00CD67BB"/>
    <w:pPr>
      <w:keepNext/>
      <w:keepLines/>
      <w:pBdr>
        <w:top w:val="single" w:sz="12" w:space="6" w:color="auto"/>
      </w:pBdr>
      <w:spacing w:before="240" w:after="180" w:line="264" w:lineRule="auto"/>
      <w:outlineLvl w:val="1"/>
    </w:pPr>
    <w:rPr>
      <w:rFonts w:asciiTheme="majorHAnsi" w:eastAsiaTheme="majorEastAsia" w:hAnsiTheme="majorHAnsi" w:cstheme="majorBidi"/>
      <w:b/>
      <w:sz w:val="28"/>
      <w:szCs w:val="32"/>
    </w:rPr>
  </w:style>
  <w:style w:type="paragraph" w:styleId="Heading3">
    <w:name w:val="heading 3"/>
    <w:basedOn w:val="Normal"/>
    <w:next w:val="BodyText"/>
    <w:link w:val="Heading3Char"/>
    <w:uiPriority w:val="9"/>
    <w:semiHidden/>
    <w:unhideWhenUsed/>
    <w:qFormat/>
    <w:rsid w:val="00AD2396"/>
    <w:pPr>
      <w:keepNext/>
      <w:keepLines/>
      <w:spacing w:before="180" w:after="180" w:line="264" w:lineRule="auto"/>
      <w:outlineLvl w:val="2"/>
    </w:pPr>
    <w:rPr>
      <w:rFonts w:eastAsiaTheme="majorEastAsia" w:cstheme="majorBidi"/>
      <w:b/>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rsid w:val="00AD2396"/>
    <w:pPr>
      <w:spacing w:before="180" w:after="180" w:line="264" w:lineRule="auto"/>
    </w:pPr>
    <w:rPr>
      <w:sz w:val="20"/>
    </w:rPr>
  </w:style>
  <w:style w:type="paragraph" w:customStyle="1" w:styleId="FirstParagraph">
    <w:name w:val="First Paragraph"/>
    <w:basedOn w:val="BodyText"/>
    <w:next w:val="BodyText"/>
    <w:qFormat/>
    <w:rsid w:val="00AD2396"/>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D2396"/>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CD67BB"/>
    <w:rPr>
      <w:rFonts w:asciiTheme="majorHAnsi" w:eastAsiaTheme="majorEastAsia" w:hAnsiTheme="majorHAnsi" w:cstheme="majorBidi"/>
      <w:b/>
      <w:sz w:val="28"/>
      <w:szCs w:val="32"/>
    </w:rPr>
  </w:style>
  <w:style w:type="character" w:customStyle="1" w:styleId="Heading3Char">
    <w:name w:val="Heading 3 Char"/>
    <w:basedOn w:val="DefaultParagraphFont"/>
    <w:link w:val="Heading3"/>
    <w:uiPriority w:val="9"/>
    <w:semiHidden/>
    <w:rsid w:val="00AD2396"/>
    <w:rPr>
      <w:rFonts w:eastAsiaTheme="majorEastAsia" w:cstheme="majorBidi"/>
      <w:b/>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rsid w:val="00AD2396"/>
    <w:pPr>
      <w:spacing w:before="240"/>
      <w:outlineLvl w:val="9"/>
    </w:pPr>
    <w:rPr>
      <w:sz w:val="28"/>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Header">
    <w:name w:val="header"/>
    <w:basedOn w:val="Normal"/>
    <w:link w:val="HeaderChar"/>
    <w:rsid w:val="00AD2396"/>
    <w:pPr>
      <w:tabs>
        <w:tab w:val="center" w:pos="4680"/>
        <w:tab w:val="right" w:pos="9360"/>
      </w:tabs>
      <w:spacing w:after="0"/>
    </w:pPr>
  </w:style>
  <w:style w:type="character" w:customStyle="1" w:styleId="HeaderChar">
    <w:name w:val="Header Char"/>
    <w:basedOn w:val="DefaultParagraphFont"/>
    <w:link w:val="Header"/>
    <w:rsid w:val="00AD2396"/>
  </w:style>
  <w:style w:type="paragraph" w:styleId="Footer">
    <w:name w:val="footer"/>
    <w:basedOn w:val="Normal"/>
    <w:link w:val="FooterChar"/>
    <w:rsid w:val="00AD2396"/>
    <w:pPr>
      <w:tabs>
        <w:tab w:val="center" w:pos="4680"/>
        <w:tab w:val="right" w:pos="9360"/>
      </w:tabs>
      <w:spacing w:after="0"/>
    </w:pPr>
  </w:style>
  <w:style w:type="character" w:customStyle="1" w:styleId="FooterChar">
    <w:name w:val="Footer Char"/>
    <w:basedOn w:val="DefaultParagraphFont"/>
    <w:link w:val="Footer"/>
    <w:rsid w:val="00AD2396"/>
  </w:style>
  <w:style w:type="paragraph" w:styleId="ListNumber">
    <w:name w:val="List Number"/>
    <w:basedOn w:val="Normal"/>
    <w:rsid w:val="00CD67BB"/>
    <w:pPr>
      <w:numPr>
        <w:numId w:val="3"/>
      </w:numPr>
      <w:spacing w:before="200" w:line="264" w:lineRule="auto"/>
      <w:contextualSpacing/>
    </w:pPr>
    <w:rPr>
      <w:sz w:val="20"/>
    </w:rPr>
  </w:style>
  <w:style w:type="character" w:styleId="LineNumber">
    <w:name w:val="line number"/>
    <w:basedOn w:val="DefaultParagraphFont"/>
    <w:rsid w:val="00166762"/>
    <w:rPr>
      <w:rFonts w:asciiTheme="minorHAnsi" w:hAnsiTheme="minorHAnsi"/>
      <w:color w:val="auto"/>
      <w:sz w:val="18"/>
    </w:rPr>
  </w:style>
  <w:style w:type="paragraph" w:styleId="ListBullet">
    <w:name w:val="List Bullet"/>
    <w:basedOn w:val="Normal"/>
    <w:rsid w:val="00A64F91"/>
    <w:pPr>
      <w:numPr>
        <w:numId w:val="5"/>
      </w:numPr>
      <w:snapToGrid w:val="0"/>
      <w:spacing w:before="120" w:after="120" w:line="264" w:lineRule="auto"/>
      <w:ind w:left="288" w:hanging="288"/>
      <w:contextualSpacing/>
    </w:pPr>
    <w:rPr>
      <w:sz w:val="20"/>
    </w:rPr>
  </w:style>
  <w:style w:type="paragraph" w:styleId="ListNumber2">
    <w:name w:val="List Number 2"/>
    <w:basedOn w:val="Normal"/>
    <w:rsid w:val="00CD67BB"/>
    <w:pPr>
      <w:numPr>
        <w:numId w:val="15"/>
      </w:numPr>
      <w:spacing w:before="80" w:after="80" w:line="264" w:lineRule="auto"/>
      <w:contextualSpacing/>
    </w:pPr>
    <w:rPr>
      <w:sz w:val="20"/>
    </w:rPr>
  </w:style>
  <w:style w:type="character" w:styleId="CommentReference">
    <w:name w:val="annotation reference"/>
    <w:basedOn w:val="DefaultParagraphFont"/>
    <w:rsid w:val="00461086"/>
    <w:rPr>
      <w:sz w:val="16"/>
      <w:szCs w:val="16"/>
    </w:rPr>
  </w:style>
  <w:style w:type="paragraph" w:styleId="CommentText">
    <w:name w:val="annotation text"/>
    <w:basedOn w:val="Normal"/>
    <w:link w:val="CommentTextChar"/>
    <w:rsid w:val="00461086"/>
    <w:rPr>
      <w:sz w:val="20"/>
      <w:szCs w:val="20"/>
    </w:rPr>
  </w:style>
  <w:style w:type="character" w:customStyle="1" w:styleId="CommentTextChar">
    <w:name w:val="Comment Text Char"/>
    <w:basedOn w:val="DefaultParagraphFont"/>
    <w:link w:val="CommentText"/>
    <w:rsid w:val="00461086"/>
    <w:rPr>
      <w:sz w:val="20"/>
      <w:szCs w:val="20"/>
    </w:rPr>
  </w:style>
  <w:style w:type="paragraph" w:styleId="CommentSubject">
    <w:name w:val="annotation subject"/>
    <w:basedOn w:val="CommentText"/>
    <w:next w:val="CommentText"/>
    <w:link w:val="CommentSubjectChar"/>
    <w:rsid w:val="00461086"/>
    <w:rPr>
      <w:b/>
      <w:bCs/>
    </w:rPr>
  </w:style>
  <w:style w:type="character" w:customStyle="1" w:styleId="CommentSubjectChar">
    <w:name w:val="Comment Subject Char"/>
    <w:basedOn w:val="CommentTextChar"/>
    <w:link w:val="CommentSubject"/>
    <w:rsid w:val="0046108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A027E9-098B-C74A-B61C-DC09120E8F4E}">
  <ds:schemaRefs>
    <ds:schemaRef ds:uri="http://schemas.openxmlformats.org/officeDocument/2006/bibliography"/>
  </ds:schemaRefs>
</ds:datastoreItem>
</file>

<file path=docMetadata/LabelInfo.xml><?xml version="1.0" encoding="utf-8"?>
<clbl:labelList xmlns:clbl="http://schemas.microsoft.com/office/2020/mipLabelMetadata">
  <clbl:label id="{99879b8e-3b16-427d-902a-05eda342f629}" enabled="0" method="" siteId="{99879b8e-3b16-427d-902a-05eda342f629}" removed="1"/>
</clbl:labelList>
</file>

<file path=docProps/app.xml><?xml version="1.0" encoding="utf-8"?>
<Properties xmlns="http://schemas.openxmlformats.org/officeDocument/2006/extended-properties" xmlns:vt="http://schemas.openxmlformats.org/officeDocument/2006/docPropsVTypes">
  <Template>Normal.dotm</Template>
  <TotalTime>4</TotalTime>
  <Pages>4</Pages>
  <Words>2409</Words>
  <Characters>13735</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Nathan Miles</dc:creator>
  <cp:keywords/>
  <cp:lastModifiedBy>Nathan Miles</cp:lastModifiedBy>
  <cp:revision>2</cp:revision>
  <dcterms:created xsi:type="dcterms:W3CDTF">2026-03-11T02:12:00Z</dcterms:created>
  <dcterms:modified xsi:type="dcterms:W3CDTF">2026-03-11T02:12:00Z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ettlr">
    <vt:lpwstr/>
  </property>
</Properties>
</file>