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45E5" w14:textId="77777777" w:rsidR="003A1F74" w:rsidRDefault="00200000">
      <w:pPr>
        <w:pStyle w:val="Heading1"/>
      </w:pPr>
      <w:bookmarkStart w:id="0" w:name="self-evaluation-c06-program-management"/>
      <w:r>
        <w:t>Self-Evaluation (C06 – Program Management)</w:t>
      </w:r>
    </w:p>
    <w:p w14:paraId="04BC45E6" w14:textId="77777777" w:rsidR="003A1F74" w:rsidRDefault="00200000">
      <w:pPr>
        <w:pStyle w:val="Heading2"/>
      </w:pPr>
      <w:bookmarkStart w:id="1" w:name="context-and-role-integration"/>
      <w:r>
        <w:t>1. Context and Role Integration</w:t>
      </w:r>
    </w:p>
    <w:p w14:paraId="04BC45E7" w14:textId="77777777" w:rsidR="003A1F74" w:rsidRDefault="00200000">
      <w:pPr>
        <w:pStyle w:val="FirstParagraph"/>
      </w:pPr>
      <w:r>
        <w:t>I joined Chewy a little over eight months ago and, during that time, experienced an unusually high degree of organizational change, including four manager transitions within my first nine months. While the role itself has remained consistent, priorities, expectations, and operating rhythms shifted meaningfully during that period.</w:t>
      </w:r>
    </w:p>
    <w:p w14:paraId="04BC45E9" w14:textId="11ECF631" w:rsidR="003A1F74" w:rsidRDefault="00200000" w:rsidP="00C67B4A">
      <w:pPr>
        <w:pStyle w:val="BodyText"/>
      </w:pPr>
      <w:r>
        <w:t>Through this change, my focus has been on establishing continuity, credibility, and trust — both within CPFR and with cross-functional partners — while ensuring that core deliverables and vendor commitments were met without interruption. I feel I have integrated well into the role and the broader organization, built strong working relationships across levels, and reached a point where I can operate with confidence, context, and anticipation rather than reaction.</w:t>
      </w:r>
    </w:p>
    <w:p w14:paraId="04BC45EA" w14:textId="77777777" w:rsidR="003A1F74" w:rsidRDefault="00200000">
      <w:pPr>
        <w:pStyle w:val="Heading2"/>
      </w:pPr>
      <w:bookmarkStart w:id="2" w:name="core-execution-and-business-impact"/>
      <w:bookmarkEnd w:id="1"/>
      <w:r>
        <w:t>2</w:t>
      </w:r>
      <w:r>
        <w:t>. Core Execution and Business Impact</w:t>
      </w:r>
    </w:p>
    <w:p w14:paraId="04BC45EB" w14:textId="77777777" w:rsidR="003A1F74" w:rsidRDefault="00200000">
      <w:pPr>
        <w:pStyle w:val="FirstParagraph"/>
      </w:pPr>
      <w:r>
        <w:t>A central responsibility of my role has been ownership of weekly outbound CPFR reporting, particularly for Tier 1 vendors that represent the majority of Chewy’s revenue. Since May, I have personally managed the extraction, processing, and delivery of these reports, while also maintaining vendor contact data and working closely with ISMs to align tiers and service levels.</w:t>
      </w:r>
    </w:p>
    <w:p w14:paraId="04BC45EC" w14:textId="77777777" w:rsidR="003A1F74" w:rsidRDefault="00200000">
      <w:pPr>
        <w:pStyle w:val="BodyText"/>
      </w:pPr>
      <w:r>
        <w:t xml:space="preserve">Over this period, I focused not just on delivery, but on </w:t>
      </w:r>
      <w:r>
        <w:rPr>
          <w:b/>
          <w:bCs/>
        </w:rPr>
        <w:t>stability and reliability</w:t>
      </w:r>
      <w:r>
        <w:t>. As a result, Tier 1 reporting improved sufficiently to move from a Wednesday delivery cadence to Monday, reclaiming most of the week for planning and follow-up rather than reactive execution.</w:t>
      </w:r>
    </w:p>
    <w:p w14:paraId="04BC45ED" w14:textId="77777777" w:rsidR="003A1F74" w:rsidRDefault="00200000">
      <w:pPr>
        <w:pStyle w:val="BodyText"/>
      </w:pPr>
      <w:r>
        <w:t>In parallel, I supported significant expansion and normalization of the CPFR vendor ecosystem. Since mid-year, this has included onboarding 1,172 new vendors (approximately 650 of which are direct ship), consolidating three vendor management systems into one, fulfilling 417 CPFR vendor maintenance requests, and resolving 181 VPP tickets. These efforts allowed CPFR to continue scaling without a corresponding drop in service quality.</w:t>
      </w:r>
    </w:p>
    <w:p w14:paraId="04BC45EF" w14:textId="716A330A" w:rsidR="003A1F74" w:rsidRDefault="00200000" w:rsidP="00C67B4A">
      <w:pPr>
        <w:pStyle w:val="BodyText"/>
      </w:pPr>
      <w:r>
        <w:t>Importantly, this execution occurred alongside substantial disruption — including enterprise system migration, all-hands triage incidents, and shifting ownership models — yet CPFR service to vendors remained continuous, with no service stoppages and only limited, communicated delays.</w:t>
      </w:r>
    </w:p>
    <w:p w14:paraId="04BC45F0" w14:textId="77777777" w:rsidR="003A1F74" w:rsidRDefault="00200000">
      <w:pPr>
        <w:pStyle w:val="Heading2"/>
      </w:pPr>
      <w:bookmarkStart w:id="3" w:name="X77edda863c17d395dc34b6ec020eaf53457dd8c"/>
      <w:bookmarkEnd w:id="2"/>
      <w:r>
        <w:t>3</w:t>
      </w:r>
      <w:r>
        <w:t>. Scaling Through Systems, Automation, and Process</w:t>
      </w:r>
    </w:p>
    <w:p w14:paraId="04BC45F1" w14:textId="77777777" w:rsidR="003A1F74" w:rsidRDefault="00200000">
      <w:pPr>
        <w:pStyle w:val="FirstParagraph"/>
      </w:pPr>
      <w:r>
        <w:t>While maintaining day-to-day execution, I intentionally focused on reducing long-term dependency on manual, rote IC work. My aim has been to ensure that CPFR scales through systems, process, and shared ownership rather than individual effort.</w:t>
      </w:r>
    </w:p>
    <w:p w14:paraId="04BC45F2" w14:textId="77777777" w:rsidR="003A1F74" w:rsidRDefault="00200000">
      <w:pPr>
        <w:pStyle w:val="BodyText"/>
      </w:pPr>
      <w:r>
        <w:t>Key initiatives in this area included: - Designing and implementing vendor self-service workflows that enable ISMs and CMs to update vendor information directly</w:t>
      </w:r>
      <w:r>
        <w:br/>
        <w:t>- Re-architecting CPFR tiering logic so updates cascade consistently across all reporting layers</w:t>
      </w:r>
      <w:r>
        <w:br/>
        <w:t>- Improving reporting reliability and delivery mechanisms to reduce rework and manual intervention</w:t>
      </w:r>
    </w:p>
    <w:p w14:paraId="04BC45F4" w14:textId="63413F0D" w:rsidR="003A1F74" w:rsidRDefault="00200000" w:rsidP="00C67B4A">
      <w:pPr>
        <w:pStyle w:val="BodyText"/>
      </w:pPr>
      <w:r>
        <w:t>These changes improved efficiency and data quality while positioning CPFR to absorb future growth with less incremental operational load. They also created space to shift focus toward higher-leverage planning, coordination, and capability development.</w:t>
      </w:r>
    </w:p>
    <w:p w14:paraId="0171B930" w14:textId="77777777" w:rsidR="006E1561" w:rsidRDefault="006E1561">
      <w:pPr>
        <w:rPr>
          <w:rFonts w:asciiTheme="majorHAnsi" w:eastAsiaTheme="majorEastAsia" w:hAnsiTheme="majorHAnsi" w:cstheme="majorBidi"/>
          <w:sz w:val="28"/>
          <w:szCs w:val="32"/>
        </w:rPr>
      </w:pPr>
      <w:bookmarkStart w:id="4" w:name="X2d58d979ff7bc923d5dab1fd0b494afa84bc82f"/>
      <w:bookmarkEnd w:id="3"/>
      <w:r>
        <w:br w:type="page"/>
      </w:r>
    </w:p>
    <w:p w14:paraId="04BC45F5" w14:textId="64FAB800" w:rsidR="003A1F74" w:rsidRDefault="00200000">
      <w:pPr>
        <w:pStyle w:val="Heading2"/>
      </w:pPr>
      <w:r>
        <w:lastRenderedPageBreak/>
        <w:t>4</w:t>
      </w:r>
      <w:r>
        <w:t>. Technical Change Management and Risk Mitigation</w:t>
      </w:r>
    </w:p>
    <w:p w14:paraId="04BC45F6" w14:textId="77777777" w:rsidR="003A1F74" w:rsidRDefault="00200000">
      <w:pPr>
        <w:pStyle w:val="FirstParagraph"/>
      </w:pPr>
      <w:r>
        <w:t>A major area of focus this year was the Vertica-to-Snowflake enterprise migration. Initial assurances that existing queries would migrate cleanly proved overly optimistic, and post-migration data degradation required multiple rounds of remediation.</w:t>
      </w:r>
    </w:p>
    <w:p w14:paraId="04BC45F7" w14:textId="77777777" w:rsidR="003A1F74" w:rsidRDefault="00200000">
      <w:pPr>
        <w:pStyle w:val="BodyText"/>
      </w:pPr>
      <w:r>
        <w:t>In response, I partnered closely with BI Engineering and senior ISMs to revise and validate 358 lines of query logic during the first remediation phase, and later identified additional upstream degradation that required revising 1,772 more lines of production query code. These changes were quality-checked with business stakeholders to ensure restored accuracy and trust.</w:t>
      </w:r>
    </w:p>
    <w:p w14:paraId="04BC45F9" w14:textId="27779C97" w:rsidR="003A1F74" w:rsidRPr="00BA4401" w:rsidRDefault="00200000" w:rsidP="00BA4401">
      <w:pPr>
        <w:pStyle w:val="BodyText"/>
      </w:pPr>
      <w:r w:rsidRPr="00BA4401">
        <w:t>This work was completed while maintaining weekly reporting commitments and was critical to preserving vendor confidence during a period of heightened technical risk.</w:t>
      </w:r>
    </w:p>
    <w:p w14:paraId="04BC45FA" w14:textId="77777777" w:rsidR="003A1F74" w:rsidRDefault="00200000">
      <w:pPr>
        <w:pStyle w:val="Heading2"/>
      </w:pPr>
      <w:bookmarkStart w:id="5" w:name="X8dbc575df1f155cfbdbf409bf999fad4d16c0f7"/>
      <w:bookmarkEnd w:id="4"/>
      <w:r>
        <w:t>5</w:t>
      </w:r>
      <w:r>
        <w:t>. Cross-Functional Leadership and CPFR Identity</w:t>
      </w:r>
    </w:p>
    <w:p w14:paraId="04BC45FB" w14:textId="77777777" w:rsidR="003A1F74" w:rsidRDefault="00200000">
      <w:pPr>
        <w:pStyle w:val="FirstParagraph"/>
      </w:pPr>
      <w:r>
        <w:t>My role requires frequent interaction across Supply Chain, Analytics, Replen Tech, Retail Product, Vendor Compliance, and multiple merchandising verticals. Over time, I have increasingly operated as connective tissue between these groups — translating requirements, surfacing risks early, and aligning stakeholders toward workable solutions.</w:t>
      </w:r>
    </w:p>
    <w:p w14:paraId="04BC45FD" w14:textId="143B3395" w:rsidR="003A1F74" w:rsidRDefault="00200000" w:rsidP="00C67B4A">
      <w:pPr>
        <w:pStyle w:val="BodyText"/>
      </w:pPr>
      <w:r>
        <w:t>In parallel, I have been deliberate about strengthening CPFR’s identity, operating clarity, and shared understanding across the organization. This has included championing clearer ownership models, establishing and maintaining a central CPFR knowledge presence (including Confluence documentation), and reinforcing a “single source of truth” mindset as CPFR capabilities expand. These efforts have helped reduce ambiguity, align expectations, and make CPFR work easier to engage with across teams.</w:t>
      </w:r>
    </w:p>
    <w:p w14:paraId="04BC45FE" w14:textId="77777777" w:rsidR="003A1F74" w:rsidRDefault="00200000">
      <w:pPr>
        <w:pStyle w:val="Heading2"/>
      </w:pPr>
      <w:bookmarkStart w:id="6" w:name="X38da73b79a7d66f2211455bcc455e929874f778"/>
      <w:bookmarkEnd w:id="5"/>
      <w:r>
        <w:t>6</w:t>
      </w:r>
      <w:r>
        <w:t>. Strategic Ownership and Long-Range Vision</w:t>
      </w:r>
    </w:p>
    <w:p w14:paraId="04BC45FF" w14:textId="77777777" w:rsidR="003A1F74" w:rsidRDefault="00200000">
      <w:pPr>
        <w:pStyle w:val="FirstParagraph"/>
      </w:pPr>
      <w:r>
        <w:t>Early in my tenure, I established a CPFR roadmap to articulate both near-term stabilization needs and longer-range capability gaps. While short-term priorities have shifted over time, I have remained a consistent advocate for aligning tactical work with a coherent future state.</w:t>
      </w:r>
    </w:p>
    <w:p w14:paraId="04BC4600" w14:textId="77777777" w:rsidR="003A1F74" w:rsidRDefault="00200000">
      <w:pPr>
        <w:pStyle w:val="BodyText"/>
      </w:pPr>
      <w:r>
        <w:t xml:space="preserve">A central pillar of this work has been the creation and championing of </w:t>
      </w:r>
      <w:r>
        <w:rPr>
          <w:b/>
          <w:bCs/>
        </w:rPr>
        <w:t>CPFR Infrastructure 2.0</w:t>
      </w:r>
      <w:r>
        <w:t xml:space="preserve"> — a Supply Chain–owned semantic data platform designed to serve as a durable single source of truth for CPFR and in-stock decision-making. This initiative required sustained cross-functional consensus-building, feasibility testing, documentation, and planning, and represents one of the most visible and anticipated evolutions of CPFR capability.</w:t>
      </w:r>
    </w:p>
    <w:p w14:paraId="04BC4601" w14:textId="77777777" w:rsidR="003A1F74" w:rsidRDefault="00200000">
      <w:pPr>
        <w:pStyle w:val="BodyText"/>
      </w:pPr>
      <w:r>
        <w:t>In support of this direction, I also: - Defined early vendor UI/UX requirements, initially scoped for Tableau Cloud and later reassessed for inclusion within the CPH portal to better align with enterprise direction</w:t>
      </w:r>
      <w:r>
        <w:br/>
        <w:t xml:space="preserve">- Created a quantified entitlement framework identifying approximately </w:t>
      </w:r>
      <w:r>
        <w:rPr>
          <w:b/>
          <w:bCs/>
        </w:rPr>
        <w:t>$1.4M in annual opportunity</w:t>
      </w:r>
      <w:r>
        <w:t>, providing a business-backed rationale for investment in self-service, automation, and platformization</w:t>
      </w:r>
    </w:p>
    <w:p w14:paraId="04BC4603" w14:textId="6D0E424D" w:rsidR="003A1F74" w:rsidRDefault="00200000" w:rsidP="00C67B4A">
      <w:pPr>
        <w:pStyle w:val="BodyText"/>
      </w:pPr>
      <w:r>
        <w:t>Together, these efforts were framed to support informed decision-making, durable alignment, and long-term scalability rather than incremental or speculative change.</w:t>
      </w:r>
    </w:p>
    <w:p w14:paraId="01C272F9" w14:textId="77777777" w:rsidR="006E1561" w:rsidRDefault="006E1561">
      <w:pPr>
        <w:rPr>
          <w:rFonts w:asciiTheme="majorHAnsi" w:eastAsiaTheme="majorEastAsia" w:hAnsiTheme="majorHAnsi" w:cstheme="majorBidi"/>
          <w:sz w:val="28"/>
          <w:szCs w:val="32"/>
        </w:rPr>
      </w:pPr>
      <w:bookmarkStart w:id="7" w:name="X06ac03b014b9c81c00f68ea5509e0337ea4f67f"/>
      <w:bookmarkEnd w:id="6"/>
      <w:r>
        <w:br w:type="page"/>
      </w:r>
    </w:p>
    <w:p w14:paraId="04BC4604" w14:textId="02DA0A1C" w:rsidR="003A1F74" w:rsidRDefault="00200000">
      <w:pPr>
        <w:pStyle w:val="Heading2"/>
      </w:pPr>
      <w:r>
        <w:lastRenderedPageBreak/>
        <w:t>7</w:t>
      </w:r>
      <w:r>
        <w:t>. Innovation and Forward Capability: Project Trident</w:t>
      </w:r>
    </w:p>
    <w:p w14:paraId="04BC4605" w14:textId="77777777" w:rsidR="003A1F74" w:rsidRDefault="00200000">
      <w:pPr>
        <w:pStyle w:val="FirstParagraph"/>
      </w:pPr>
      <w:r>
        <w:t xml:space="preserve">In parallel with core responsibilities, I initiated </w:t>
      </w:r>
      <w:r>
        <w:rPr>
          <w:b/>
          <w:bCs/>
        </w:rPr>
        <w:t>Project Trident</w:t>
      </w:r>
      <w:r>
        <w:t xml:space="preserve"> to explore how CPFR and in-stock planning capabilities could be extended through AI and causal machine learning.</w:t>
      </w:r>
    </w:p>
    <w:p w14:paraId="04BC4606" w14:textId="77777777" w:rsidR="003A1F74" w:rsidRDefault="00200000">
      <w:pPr>
        <w:pStyle w:val="BodyText"/>
      </w:pPr>
      <w:r>
        <w:t>The initial phase focused on building a decision-network application capable of modeling in-stock scenarios over time. This foundational work — comprising 18,998 lines of code and 239 pages of documentation — was designed to support both retroactive diagnosis and forward-looking scenario testing.</w:t>
      </w:r>
    </w:p>
    <w:p w14:paraId="04BC4608" w14:textId="2274B321" w:rsidR="003A1F74" w:rsidRDefault="00200000" w:rsidP="00C67B4A">
      <w:pPr>
        <w:pStyle w:val="BodyText"/>
      </w:pPr>
      <w:r>
        <w:t>Future development will pair in-situ workflow study with stakeholders and real-world planning behaviors, using those insights to inform decision models and progressively support digital-twin-like capabilities. The intent is to ensure that technical sophistication is driven by user experience and practical planning needs.</w:t>
      </w:r>
    </w:p>
    <w:p w14:paraId="04BC4609" w14:textId="77777777" w:rsidR="003A1F74" w:rsidRDefault="00200000">
      <w:pPr>
        <w:pStyle w:val="Heading2"/>
      </w:pPr>
      <w:bookmarkStart w:id="8" w:name="reflection-and-growth"/>
      <w:bookmarkEnd w:id="7"/>
      <w:r>
        <w:t>8</w:t>
      </w:r>
      <w:r>
        <w:t>. Reflection and Growth</w:t>
      </w:r>
    </w:p>
    <w:p w14:paraId="04BC460A" w14:textId="77777777" w:rsidR="003A1F74" w:rsidRDefault="00200000">
      <w:pPr>
        <w:pStyle w:val="FirstParagraph"/>
      </w:pPr>
      <w:r>
        <w:t>Over the past several months, I have been deliberate about strengthening communication structure and clarity, particularly in situations where decisiveness and shared understanding matter most. Early feedback highlighted opportunities to make updates more concise and outcome-oriented for senior audiences, and I’ve since incorporated targeted guidance and observation into how I frame discussions and written materials. I’ve received positive feedback on this progress and continue to refine this skill across d</w:t>
      </w:r>
      <w:r>
        <w:t>ifferent contexts.</w:t>
      </w:r>
    </w:p>
    <w:p w14:paraId="04BC460B" w14:textId="77777777" w:rsidR="003A1F74" w:rsidRDefault="00200000">
      <w:pPr>
        <w:pStyle w:val="BodyText"/>
      </w:pPr>
      <w:r>
        <w:t>I’ve also reflected on how I sequence problem-solving, particularly my initial emphasis on systems and foundational infrastructure. While this addressed areas of fragility with broad downstream impact, I recognize the importance of pairing that work with explicit attention to ways-of-working and stakeholder pain points. As these foundations have stabilized, I’ve intentionally shifted toward more experience-driven initiatives that balance technical durability with human-centered effectiveness.</w:t>
      </w:r>
    </w:p>
    <w:p w14:paraId="04BC460D" w14:textId="7A6CC7D1" w:rsidR="003A1F74" w:rsidRDefault="00200000" w:rsidP="00C67B4A">
      <w:pPr>
        <w:pStyle w:val="BodyText"/>
      </w:pPr>
      <w:r>
        <w:t>Finally, as I’ve become more embedded within Chewy’s relationship-driven culture, my engagement across teams has accelerated. What initially required deliberate calibration now benefits from stronger relationships and shared context, enabling faster alignment and more confident execution.</w:t>
      </w:r>
    </w:p>
    <w:p w14:paraId="04BC460E" w14:textId="77777777" w:rsidR="003A1F74" w:rsidRDefault="00200000">
      <w:pPr>
        <w:pStyle w:val="Heading2"/>
      </w:pPr>
      <w:bookmarkStart w:id="9" w:name="looking-ahead"/>
      <w:bookmarkEnd w:id="8"/>
      <w:r>
        <w:t>9</w:t>
      </w:r>
      <w:r>
        <w:t>. Looking Ahead</w:t>
      </w:r>
    </w:p>
    <w:p w14:paraId="04BC460F" w14:textId="77777777" w:rsidR="003A1F74" w:rsidRDefault="00200000">
      <w:pPr>
        <w:pStyle w:val="FirstParagraph"/>
      </w:pPr>
      <w:r>
        <w:t>Looking forward, my focus remains on continuing to mature CPFR into a scalable, resilient, and strategically valuable capability for Chewy through automation, cross-functional alignment, and durable systems that improve planning and vendor partnership.</w:t>
      </w:r>
    </w:p>
    <w:p w14:paraId="04BC4610" w14:textId="77777777" w:rsidR="003A1F74" w:rsidRDefault="00200000">
      <w:pPr>
        <w:pStyle w:val="BodyText"/>
      </w:pPr>
      <w:r>
        <w:t>CPFR sits at the intersection of data, systems, and business execution, and my role has increasingly involved operating at those seams. Much of the impact I’ve delivered has come from applying technical judgment and systems thinking in service of program-level outcomes — whether stabilizing core workflows, reducing operational fragility, or laying foundations for future capabilities.</w:t>
      </w:r>
    </w:p>
    <w:p w14:paraId="04BC4611" w14:textId="77777777" w:rsidR="003A1F74" w:rsidRDefault="00200000">
      <w:pPr>
        <w:pStyle w:val="BodyText"/>
      </w:pPr>
      <w:r>
        <w:t>As CPFR continues to stabilize and scale, I see three complementary areas of focus: sustaining excellence in core CPFR execution, contributing to the evolution of CPFR’s operating model and technical foundations, and remaining open to adjacent roles or ways of working where program-level ownership and cross-team orchestration are central to the value delivered.</w:t>
      </w:r>
    </w:p>
    <w:p w14:paraId="04BC4612" w14:textId="77777777" w:rsidR="003A1F74" w:rsidRDefault="00200000">
      <w:pPr>
        <w:pStyle w:val="BodyText"/>
      </w:pPr>
      <w:r>
        <w:t>My aim is to continue growing in ways that best serve Chewy’s evolving needs — strengthening CPFR from within, extending its capabilities across adjacent domains, and applying program- and systems-level strengths where they can create the greatest long-term leverage.</w:t>
      </w:r>
    </w:p>
    <w:bookmarkEnd w:id="9"/>
    <w:bookmarkEnd w:id="0"/>
    <w:sectPr w:rsidR="003A1F74" w:rsidSect="008B01AF">
      <w:footnotePr>
        <w:numRestart w:val="eachSect"/>
      </w:footnotePr>
      <w:pgSz w:w="12240" w:h="15840"/>
      <w:pgMar w:top="720" w:right="720" w:bottom="720" w:left="720" w:header="720" w:footer="720" w:gutter="288"/>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88F1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9350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74"/>
    <w:rsid w:val="00007789"/>
    <w:rsid w:val="00050706"/>
    <w:rsid w:val="00200000"/>
    <w:rsid w:val="002A092E"/>
    <w:rsid w:val="003A1F74"/>
    <w:rsid w:val="006E1561"/>
    <w:rsid w:val="00705F32"/>
    <w:rsid w:val="0080753E"/>
    <w:rsid w:val="00845109"/>
    <w:rsid w:val="008B01AF"/>
    <w:rsid w:val="009050BD"/>
    <w:rsid w:val="009A15DB"/>
    <w:rsid w:val="00A50AAA"/>
    <w:rsid w:val="00B5538C"/>
    <w:rsid w:val="00B94A82"/>
    <w:rsid w:val="00BA4401"/>
    <w:rsid w:val="00C67B4A"/>
    <w:rsid w:val="00D20C90"/>
    <w:rsid w:val="00E8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04BC45E5"/>
  <w15:docId w15:val="{2A3ACB81-0358-4C45-9FB1-24C616EC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ne number"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4A82"/>
    <w:rPr>
      <w:sz w:val="20"/>
    </w:rPr>
  </w:style>
  <w:style w:type="paragraph" w:styleId="Heading1">
    <w:name w:val="heading 1"/>
    <w:basedOn w:val="Normal"/>
    <w:next w:val="BodyText"/>
    <w:link w:val="Heading1Char"/>
    <w:autoRedefine/>
    <w:uiPriority w:val="9"/>
    <w:qFormat/>
    <w:rsid w:val="00B5538C"/>
    <w:pPr>
      <w:keepNext/>
      <w:keepLines/>
      <w:spacing w:after="240" w:line="264"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autoRedefine/>
    <w:uiPriority w:val="9"/>
    <w:semiHidden/>
    <w:unhideWhenUsed/>
    <w:qFormat/>
    <w:rsid w:val="00705F32"/>
    <w:pPr>
      <w:keepNext/>
      <w:keepLines/>
      <w:pBdr>
        <w:top w:val="single" w:sz="18" w:space="12" w:color="auto"/>
      </w:pBdr>
      <w:spacing w:before="240" w:after="240" w:line="264" w:lineRule="auto"/>
      <w:outlineLvl w:val="1"/>
    </w:pPr>
    <w:rPr>
      <w:rFonts w:asciiTheme="majorHAnsi" w:eastAsiaTheme="majorEastAsia" w:hAnsiTheme="majorHAnsi" w:cstheme="majorBidi"/>
      <w:sz w:val="28"/>
      <w:szCs w:val="32"/>
    </w:rPr>
  </w:style>
  <w:style w:type="paragraph" w:styleId="Heading3">
    <w:name w:val="heading 3"/>
    <w:basedOn w:val="Normal"/>
    <w:next w:val="BodyText"/>
    <w:link w:val="Heading3Char"/>
    <w:autoRedefine/>
    <w:uiPriority w:val="9"/>
    <w:semiHidden/>
    <w:unhideWhenUsed/>
    <w:qFormat/>
    <w:rsid w:val="00B5538C"/>
    <w:pPr>
      <w:keepNext/>
      <w:keepLines/>
      <w:spacing w:before="160" w:after="80"/>
      <w:outlineLvl w:val="2"/>
    </w:pPr>
    <w:rPr>
      <w:rFonts w:eastAsiaTheme="majorEastAsia" w:cstheme="majorBidi"/>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050BD"/>
    <w:pPr>
      <w:spacing w:before="180" w:after="180" w:line="264" w:lineRule="auto"/>
    </w:pPr>
  </w:style>
  <w:style w:type="paragraph" w:customStyle="1" w:styleId="FirstParagraph">
    <w:name w:val="First Paragraph"/>
    <w:basedOn w:val="BodyText"/>
    <w:next w:val="BodyText"/>
    <w:qFormat/>
    <w:rsid w:val="009050BD"/>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B5538C"/>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semiHidden/>
    <w:rsid w:val="00705F32"/>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semiHidden/>
    <w:rsid w:val="00B5538C"/>
    <w:rPr>
      <w:rFonts w:eastAsiaTheme="majorEastAsia" w:cstheme="majorBid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essageHeader">
    <w:name w:val="Message Header"/>
    <w:basedOn w:val="Normal"/>
    <w:link w:val="MessageHeaderChar"/>
    <w:rsid w:val="009A15DB"/>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9A15DB"/>
    <w:rPr>
      <w:rFonts w:asciiTheme="majorHAnsi" w:eastAsiaTheme="majorEastAsia" w:hAnsiTheme="majorHAnsi" w:cstheme="majorBidi"/>
      <w:shd w:val="pct20" w:color="auto" w:fill="auto"/>
    </w:rPr>
  </w:style>
  <w:style w:type="character" w:styleId="LineNumber">
    <w:name w:val="line number"/>
    <w:basedOn w:val="DefaultParagraphFont"/>
    <w:qFormat/>
    <w:rsid w:val="00BA4401"/>
    <w:rPr>
      <w:rFonts w:asciiTheme="minorHAnsi" w:hAnsiTheme="minorHAnsi"/>
      <w:color w:val="7F7F7F" w:themeColor="text1" w:themeTint="80"/>
      <w:sz w:val="20"/>
    </w:rPr>
  </w:style>
  <w:style w:type="paragraph" w:styleId="BodyText2">
    <w:name w:val="Body Text 2"/>
    <w:basedOn w:val="Normal"/>
    <w:link w:val="BodyText2Char"/>
    <w:rsid w:val="008B01AF"/>
    <w:pPr>
      <w:spacing w:after="120" w:line="480" w:lineRule="auto"/>
    </w:pPr>
  </w:style>
  <w:style w:type="character" w:customStyle="1" w:styleId="BodyText2Char">
    <w:name w:val="Body Text 2 Char"/>
    <w:basedOn w:val="DefaultParagraphFont"/>
    <w:link w:val="BodyText2"/>
    <w:rsid w:val="008B0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710C-4736-C248-B850-6596F0E9F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5</cp:revision>
  <dcterms:created xsi:type="dcterms:W3CDTF">2026-01-08T00:26:00Z</dcterms:created>
  <dcterms:modified xsi:type="dcterms:W3CDTF">2026-01-08T01:19:00Z</dcterms:modified>
</cp:coreProperties>
</file>