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6C1CE" w14:textId="52DA6246" w:rsidR="008A0E5E" w:rsidRPr="008A0E5E" w:rsidRDefault="008A0E5E" w:rsidP="009E4947">
      <w:pPr>
        <w:pStyle w:val="Heading1"/>
        <w:rPr>
          <w:rFonts w:eastAsia="Times New Roman"/>
        </w:rPr>
      </w:pPr>
      <w:r w:rsidRPr="008A0E5E">
        <w:rPr>
          <w:rFonts w:eastAsia="Times New Roman"/>
        </w:rPr>
        <w:t>Self-Evaluation</w:t>
      </w:r>
      <w:r w:rsidR="00641DB4">
        <w:rPr>
          <w:rFonts w:eastAsia="Times New Roman"/>
        </w:rPr>
        <w:t xml:space="preserve"> – Nathan Miles 2025</w:t>
      </w:r>
    </w:p>
    <w:p w14:paraId="67F5F7E0" w14:textId="6CE53FAF" w:rsidR="008A0E5E" w:rsidRPr="00B469CC" w:rsidRDefault="008A0E5E" w:rsidP="00B469CC">
      <w:pPr>
        <w:pStyle w:val="Heading2"/>
      </w:pPr>
      <w:r w:rsidRPr="00B469CC">
        <w:t>Context and Role Integration</w:t>
      </w:r>
    </w:p>
    <w:p w14:paraId="62333D71" w14:textId="77777777" w:rsidR="008A0E5E" w:rsidRPr="008A0E5E" w:rsidRDefault="008A0E5E" w:rsidP="00B469CC">
      <w:r w:rsidRPr="008A0E5E">
        <w:t>I joined Chewy a little over eight months ago and, during that time, experienced an unusually high degree of organizational change, including three manager transitions within my first several months. While the role itself remained consistent, priorities, expectations, and operating rhythms shifted meaningfully during that period.</w:t>
      </w:r>
    </w:p>
    <w:p w14:paraId="5281632A" w14:textId="1AEAC209" w:rsidR="008A0E5E" w:rsidRPr="008A0E5E" w:rsidRDefault="008A0E5E" w:rsidP="00B469CC">
      <w:r w:rsidRPr="008A0E5E">
        <w:t>My primary focus throughout was on establishing continuity, credibility, and trust — both within CPFR and with cross-functional partners — while ensuring that core deliverables and vendor commitments were met without interruption. Despite the change environment, I feel I have integrated well into both the role and the broader organization, developed strong working relationships across levels, and reached a point where I can operate with confidence, context, and anticipation rather than reaction.</w:t>
      </w:r>
    </w:p>
    <w:p w14:paraId="48C61188" w14:textId="0AB292F7" w:rsidR="008A0E5E" w:rsidRPr="009E4947" w:rsidRDefault="008A0E5E" w:rsidP="00B469CC">
      <w:pPr>
        <w:pStyle w:val="Heading2"/>
      </w:pPr>
      <w:r w:rsidRPr="008A0E5E">
        <w:t>Core Execution and Business Impact</w:t>
      </w:r>
    </w:p>
    <w:p w14:paraId="719B6EFC"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A central responsibility of my role has been ownership of weekly outbound CPFR reporting, particularly for Tier 1 vendors representing the majority of Chewy’s revenue. Since May, I have personally managed the extraction, processing, and delivery of these reports, while also maintaining vendor contact data and collaborating closely with ISMs to align tiers and service levels.</w:t>
      </w:r>
    </w:p>
    <w:p w14:paraId="72FDBEEB"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 xml:space="preserve">Over this period, I focused not just on delivery, but on </w:t>
      </w:r>
      <w:r w:rsidRPr="008A0E5E">
        <w:rPr>
          <w:rFonts w:eastAsia="Times New Roman" w:cs="Times New Roman"/>
          <w:b/>
          <w:bCs/>
          <w:kern w:val="0"/>
          <w:szCs w:val="22"/>
          <w14:ligatures w14:val="none"/>
        </w:rPr>
        <w:t>stability and reliability</w:t>
      </w:r>
      <w:r w:rsidRPr="008A0E5E">
        <w:rPr>
          <w:rFonts w:eastAsia="Times New Roman" w:cs="Times New Roman"/>
          <w:kern w:val="0"/>
          <w:szCs w:val="22"/>
          <w14:ligatures w14:val="none"/>
        </w:rPr>
        <w:t>. As a result, Tier 1 reporting improved sufficiently to move from a Wednesday delivery cadence to Monday, reclaiming most of the week for planning and follow-up rather than reactive execution.</w:t>
      </w:r>
    </w:p>
    <w:p w14:paraId="0B922380" w14:textId="2EA738CB"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In parallel, I supported significant expansion and normalization of the CPFR vendor ecosystem. Since mid-year, this has included onboarding 1,172 new vendors (</w:t>
      </w:r>
      <w:r w:rsidR="009E4947">
        <w:rPr>
          <w:rFonts w:eastAsia="Times New Roman" w:cs="Times New Roman"/>
          <w:kern w:val="0"/>
          <w:szCs w:val="22"/>
          <w14:ligatures w14:val="none"/>
        </w:rPr>
        <w:sym w:font="Symbol" w:char="F0BB"/>
      </w:r>
      <w:r w:rsidR="009E4947">
        <w:rPr>
          <w:rFonts w:eastAsia="Times New Roman" w:cs="Times New Roman"/>
          <w:kern w:val="0"/>
          <w:szCs w:val="22"/>
          <w14:ligatures w14:val="none"/>
        </w:rPr>
        <w:t xml:space="preserve"> </w:t>
      </w:r>
      <w:r w:rsidRPr="008A0E5E">
        <w:rPr>
          <w:rFonts w:eastAsia="Times New Roman" w:cs="Times New Roman"/>
          <w:kern w:val="0"/>
          <w:szCs w:val="22"/>
          <w14:ligatures w14:val="none"/>
        </w:rPr>
        <w:t>650 of which are direct ship), consolidating three vendor management systems into one, fulfilling 417 CPFR vendor maintenance requests, and resolving 181 VPP tickets. These efforts ensured that CPFR could continue to scale without degradation in service quality.</w:t>
      </w:r>
    </w:p>
    <w:p w14:paraId="4B145A36" w14:textId="5DF32C9F"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Importantly, this execution occurred alongside substantial disruption — including enterprise system migration, all-hands triage incidents, and shifting ownership models — yet CPFR service to vendors remained continuous, with no service stoppages and only limited, communicated delays.</w:t>
      </w:r>
    </w:p>
    <w:p w14:paraId="66D5AACC" w14:textId="57F9FA4E" w:rsidR="008A0E5E" w:rsidRPr="008A0E5E" w:rsidRDefault="008A0E5E" w:rsidP="00B469CC">
      <w:pPr>
        <w:pStyle w:val="Heading2"/>
      </w:pPr>
      <w:r w:rsidRPr="008A0E5E">
        <w:t>Scaling Through Systems, Automation, and Process</w:t>
      </w:r>
    </w:p>
    <w:p w14:paraId="2E0652E4"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While maintaining day-to-day execution, I intentionally focused on reducing long-term dependency on manual, rote IC work. My goal has been to ensure that CPFR scales through systems, process, and shared ownership rather than individual effort.</w:t>
      </w:r>
    </w:p>
    <w:p w14:paraId="43A6B531" w14:textId="77777777" w:rsidR="008A0E5E" w:rsidRPr="008A0E5E" w:rsidRDefault="008A0E5E" w:rsidP="009E4947">
      <w:pPr>
        <w:spacing w:before="100" w:beforeAutospacing="1" w:after="0"/>
        <w:rPr>
          <w:rFonts w:eastAsia="Times New Roman" w:cs="Times New Roman"/>
          <w:kern w:val="0"/>
          <w:szCs w:val="22"/>
          <w14:ligatures w14:val="none"/>
        </w:rPr>
      </w:pPr>
      <w:r w:rsidRPr="008A0E5E">
        <w:rPr>
          <w:rFonts w:eastAsia="Times New Roman" w:cs="Times New Roman"/>
          <w:kern w:val="0"/>
          <w:szCs w:val="22"/>
          <w14:ligatures w14:val="none"/>
        </w:rPr>
        <w:t>Key initiatives in this area included:</w:t>
      </w:r>
    </w:p>
    <w:p w14:paraId="6D81F3C3" w14:textId="77777777" w:rsidR="008A0E5E" w:rsidRPr="008A0E5E" w:rsidRDefault="008A0E5E" w:rsidP="009E4947">
      <w:pPr>
        <w:numPr>
          <w:ilvl w:val="0"/>
          <w:numId w:val="1"/>
        </w:numPr>
        <w:spacing w:before="0" w:after="100" w:afterAutospacing="1"/>
        <w:rPr>
          <w:rFonts w:eastAsia="Times New Roman" w:cs="Times New Roman"/>
          <w:kern w:val="0"/>
          <w:szCs w:val="22"/>
          <w14:ligatures w14:val="none"/>
        </w:rPr>
      </w:pPr>
      <w:r w:rsidRPr="008A0E5E">
        <w:rPr>
          <w:rFonts w:eastAsia="Times New Roman" w:cs="Times New Roman"/>
          <w:kern w:val="0"/>
          <w:szCs w:val="22"/>
          <w14:ligatures w14:val="none"/>
        </w:rPr>
        <w:t>Designing and implementing vendor self-service workflows that enable ISMs and CMs to update vendor information directly</w:t>
      </w:r>
    </w:p>
    <w:p w14:paraId="2D716D50" w14:textId="77777777" w:rsidR="008A0E5E" w:rsidRPr="008A0E5E" w:rsidRDefault="008A0E5E" w:rsidP="009E4947">
      <w:pPr>
        <w:numPr>
          <w:ilvl w:val="0"/>
          <w:numId w:val="1"/>
        </w:num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Re-architecting CPFR tiering logic so that updates cascade consistently across all reporting layers</w:t>
      </w:r>
    </w:p>
    <w:p w14:paraId="737B5812" w14:textId="77777777" w:rsidR="008A0E5E" w:rsidRPr="008A0E5E" w:rsidRDefault="008A0E5E" w:rsidP="009E4947">
      <w:pPr>
        <w:numPr>
          <w:ilvl w:val="0"/>
          <w:numId w:val="1"/>
        </w:num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Improving reporting reliability and delivery mechanisms to reduce rework and manual intervention</w:t>
      </w:r>
    </w:p>
    <w:p w14:paraId="5DEEABB7"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lastRenderedPageBreak/>
        <w:t>These changes improved efficiency and data quality, while positioning CPFR to absorb future growth with less incremental operational load. They also created space to shift focus toward higher-leverage planning, coordination, and capability development.</w:t>
      </w:r>
    </w:p>
    <w:p w14:paraId="7D9C42A1" w14:textId="20EE9CCC" w:rsidR="008A0E5E" w:rsidRPr="008A0E5E" w:rsidRDefault="008A0E5E" w:rsidP="00B469CC">
      <w:pPr>
        <w:pStyle w:val="Heading2"/>
      </w:pPr>
      <w:r w:rsidRPr="008A0E5E">
        <w:t>Technical Change Management and Risk Mitigation</w:t>
      </w:r>
    </w:p>
    <w:p w14:paraId="6EB513F2"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A major area of focus this year was the Vertica-to-Snowflake enterprise migration. Initial assurances that existing queries would migrate cleanly proved overly optimistic, and post-migration data degradation required multiple rounds of remediation.</w:t>
      </w:r>
    </w:p>
    <w:p w14:paraId="33CB15B0" w14:textId="77777777" w:rsidR="008A0E5E" w:rsidRPr="008A0E5E" w:rsidRDefault="008A0E5E" w:rsidP="009E4947">
      <w:pPr>
        <w:spacing w:before="100" w:beforeAutospacing="1" w:after="0"/>
        <w:rPr>
          <w:rFonts w:eastAsia="Times New Roman" w:cs="Times New Roman"/>
          <w:kern w:val="0"/>
          <w:szCs w:val="22"/>
          <w14:ligatures w14:val="none"/>
        </w:rPr>
      </w:pPr>
      <w:r w:rsidRPr="008A0E5E">
        <w:rPr>
          <w:rFonts w:eastAsia="Times New Roman" w:cs="Times New Roman"/>
          <w:kern w:val="0"/>
          <w:szCs w:val="22"/>
          <w14:ligatures w14:val="none"/>
        </w:rPr>
        <w:t>In response, I partnered closely with BI Engineering and senior ISMs to:</w:t>
      </w:r>
    </w:p>
    <w:p w14:paraId="110BD4A3" w14:textId="77777777" w:rsidR="008A0E5E" w:rsidRPr="008A0E5E" w:rsidRDefault="008A0E5E" w:rsidP="009E4947">
      <w:pPr>
        <w:numPr>
          <w:ilvl w:val="0"/>
          <w:numId w:val="2"/>
        </w:numPr>
        <w:spacing w:before="0" w:after="100" w:afterAutospacing="1"/>
        <w:rPr>
          <w:rFonts w:eastAsia="Times New Roman" w:cs="Times New Roman"/>
          <w:kern w:val="0"/>
          <w:szCs w:val="22"/>
          <w14:ligatures w14:val="none"/>
        </w:rPr>
      </w:pPr>
      <w:r w:rsidRPr="008A0E5E">
        <w:rPr>
          <w:rFonts w:eastAsia="Times New Roman" w:cs="Times New Roman"/>
          <w:kern w:val="0"/>
          <w:szCs w:val="22"/>
          <w14:ligatures w14:val="none"/>
        </w:rPr>
        <w:t>Revise and validate 358 lines of query logic during the first remediation phase</w:t>
      </w:r>
    </w:p>
    <w:p w14:paraId="0DE92093" w14:textId="77777777" w:rsidR="008A0E5E" w:rsidRPr="008A0E5E" w:rsidRDefault="008A0E5E" w:rsidP="009E4947">
      <w:pPr>
        <w:numPr>
          <w:ilvl w:val="0"/>
          <w:numId w:val="2"/>
        </w:num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Identify additional upstream degradation and personally revise 1,772 additional lines of production query code</w:t>
      </w:r>
    </w:p>
    <w:p w14:paraId="43935316" w14:textId="77777777" w:rsidR="008A0E5E" w:rsidRPr="008A0E5E" w:rsidRDefault="008A0E5E" w:rsidP="009E4947">
      <w:pPr>
        <w:numPr>
          <w:ilvl w:val="0"/>
          <w:numId w:val="2"/>
        </w:num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Perform quality checks with business stakeholders to ensure restored accuracy and trust</w:t>
      </w:r>
    </w:p>
    <w:p w14:paraId="05E748DD"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These efforts were undertaken while maintaining weekly reporting commitments and were critical to preserving vendor confidence during a period of heightened technical risk.</w:t>
      </w:r>
    </w:p>
    <w:p w14:paraId="638034E8" w14:textId="36359A40" w:rsidR="008A0E5E" w:rsidRPr="008A0E5E" w:rsidRDefault="008A0E5E" w:rsidP="00B469CC">
      <w:pPr>
        <w:pStyle w:val="Heading2"/>
      </w:pPr>
      <w:r w:rsidRPr="008A0E5E">
        <w:t>Cross-Functional Leadership and Influence</w:t>
      </w:r>
    </w:p>
    <w:p w14:paraId="487A8903"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My role requires frequent interaction across Supply Chain, Analytics, Replen Tech, Retail Product, Vendor Compliance, and several merchandising verticals. Over time, I have increasingly operated as connective tissue between these groups — translating requirements, surfacing risks early, and aligning stakeholders toward workable solutions.</w:t>
      </w:r>
    </w:p>
    <w:p w14:paraId="1FE7250A"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Through consistent exposure to senior leadership, I have made deliberate efforts to strengthen executive presence in both written and verbal communication, while still bringing technical rigor and systems thinking to discussions. Feedback from leadership has reflected growing confidence in my ability to anticipate issues, collaborate effectively, and provide steady guidance in ambiguous situations.</w:t>
      </w:r>
    </w:p>
    <w:p w14:paraId="5933D0DC" w14:textId="26FDFE17" w:rsidR="008A0E5E" w:rsidRPr="008A0E5E" w:rsidRDefault="008A0E5E" w:rsidP="00B469CC">
      <w:pPr>
        <w:pStyle w:val="Heading2"/>
      </w:pPr>
      <w:r w:rsidRPr="008A0E5E">
        <w:t>Strategic Ownership and Long-Range Vision</w:t>
      </w:r>
    </w:p>
    <w:p w14:paraId="33E068F5"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Early in my tenure, I established a CPFR roadmap to articulate both near-term stabilization needs and longer-range capability gaps. While short-term priorities have shifted over time, I have remained a consistent advocate for aligning tactical work with a coherent future state.</w:t>
      </w:r>
    </w:p>
    <w:p w14:paraId="43274690" w14:textId="77777777" w:rsidR="008A0E5E" w:rsidRPr="008A0E5E" w:rsidRDefault="008A0E5E" w:rsidP="009E4947">
      <w:pPr>
        <w:spacing w:before="100" w:beforeAutospacing="1" w:after="0"/>
        <w:rPr>
          <w:rFonts w:eastAsia="Times New Roman" w:cs="Times New Roman"/>
          <w:kern w:val="0"/>
          <w:szCs w:val="22"/>
          <w14:ligatures w14:val="none"/>
        </w:rPr>
      </w:pPr>
      <w:r w:rsidRPr="008A0E5E">
        <w:rPr>
          <w:rFonts w:eastAsia="Times New Roman" w:cs="Times New Roman"/>
          <w:kern w:val="0"/>
          <w:szCs w:val="22"/>
          <w14:ligatures w14:val="none"/>
        </w:rPr>
        <w:t>This has included:</w:t>
      </w:r>
    </w:p>
    <w:p w14:paraId="54CAC7B2" w14:textId="77777777" w:rsidR="008A0E5E" w:rsidRPr="008A0E5E" w:rsidRDefault="008A0E5E" w:rsidP="009E4947">
      <w:pPr>
        <w:numPr>
          <w:ilvl w:val="0"/>
          <w:numId w:val="3"/>
        </w:numPr>
        <w:spacing w:before="0" w:after="100" w:afterAutospacing="1"/>
        <w:rPr>
          <w:rFonts w:eastAsia="Times New Roman" w:cs="Times New Roman"/>
          <w:kern w:val="0"/>
          <w:szCs w:val="22"/>
          <w14:ligatures w14:val="none"/>
        </w:rPr>
      </w:pPr>
      <w:r w:rsidRPr="008A0E5E">
        <w:rPr>
          <w:rFonts w:eastAsia="Times New Roman" w:cs="Times New Roman"/>
          <w:kern w:val="0"/>
          <w:szCs w:val="22"/>
          <w14:ligatures w14:val="none"/>
        </w:rPr>
        <w:t xml:space="preserve">Laying the foundation for </w:t>
      </w:r>
      <w:r w:rsidRPr="008A0E5E">
        <w:rPr>
          <w:rFonts w:eastAsia="Times New Roman" w:cs="Times New Roman"/>
          <w:b/>
          <w:bCs/>
          <w:kern w:val="0"/>
          <w:szCs w:val="22"/>
          <w14:ligatures w14:val="none"/>
        </w:rPr>
        <w:t>CPFR Infrastructure 2.0</w:t>
      </w:r>
      <w:r w:rsidRPr="008A0E5E">
        <w:rPr>
          <w:rFonts w:eastAsia="Times New Roman" w:cs="Times New Roman"/>
          <w:kern w:val="0"/>
          <w:szCs w:val="22"/>
          <w14:ligatures w14:val="none"/>
        </w:rPr>
        <w:t>, centered on a Supply Chain-owned semantic data platform built using industry best practices</w:t>
      </w:r>
    </w:p>
    <w:p w14:paraId="025BD926" w14:textId="77777777" w:rsidR="008A0E5E" w:rsidRPr="008A0E5E" w:rsidRDefault="008A0E5E" w:rsidP="009E4947">
      <w:pPr>
        <w:numPr>
          <w:ilvl w:val="0"/>
          <w:numId w:val="3"/>
        </w:num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Defining early vendor UI/UX requirements, initially scoped for Tableau Cloud and later reassessed for inclusion within the CPH portal to better align with enterprise direction</w:t>
      </w:r>
    </w:p>
    <w:p w14:paraId="18A64659" w14:textId="77777777" w:rsidR="008A0E5E" w:rsidRPr="008A0E5E" w:rsidRDefault="008A0E5E" w:rsidP="009E4947">
      <w:pPr>
        <w:numPr>
          <w:ilvl w:val="0"/>
          <w:numId w:val="3"/>
        </w:num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 xml:space="preserve">Creating a quantified entitlement framework identifying approximately </w:t>
      </w:r>
      <w:r w:rsidRPr="008A0E5E">
        <w:rPr>
          <w:rFonts w:eastAsia="Times New Roman" w:cs="Times New Roman"/>
          <w:b/>
          <w:bCs/>
          <w:kern w:val="0"/>
          <w:szCs w:val="22"/>
          <w14:ligatures w14:val="none"/>
        </w:rPr>
        <w:t>$1.4M in annual opportunity</w:t>
      </w:r>
      <w:r w:rsidRPr="008A0E5E">
        <w:rPr>
          <w:rFonts w:eastAsia="Times New Roman" w:cs="Times New Roman"/>
          <w:kern w:val="0"/>
          <w:szCs w:val="22"/>
          <w14:ligatures w14:val="none"/>
        </w:rPr>
        <w:t xml:space="preserve">, providing a business-backed rationale for investment in self-service, automation, and </w:t>
      </w:r>
      <w:proofErr w:type="spellStart"/>
      <w:r w:rsidRPr="008A0E5E">
        <w:rPr>
          <w:rFonts w:eastAsia="Times New Roman" w:cs="Times New Roman"/>
          <w:kern w:val="0"/>
          <w:szCs w:val="22"/>
          <w14:ligatures w14:val="none"/>
        </w:rPr>
        <w:t>platformization</w:t>
      </w:r>
      <w:proofErr w:type="spellEnd"/>
    </w:p>
    <w:p w14:paraId="3DE57902"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These efforts were intentionally framed to support informed decision-making and cross-functional alignment rather than speculative innovation.</w:t>
      </w:r>
    </w:p>
    <w:p w14:paraId="2EBD87F3" w14:textId="613B42F8" w:rsidR="008A0E5E" w:rsidRPr="008A0E5E" w:rsidRDefault="008A0E5E" w:rsidP="00B469CC">
      <w:pPr>
        <w:pStyle w:val="Heading2"/>
      </w:pPr>
      <w:r w:rsidRPr="008A0E5E">
        <w:lastRenderedPageBreak/>
        <w:t>Innovation and Forward Capability: Project Trident</w:t>
      </w:r>
    </w:p>
    <w:p w14:paraId="38154A52"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 xml:space="preserve">In parallel with core responsibilities, I initiated </w:t>
      </w:r>
      <w:r w:rsidRPr="008A0E5E">
        <w:rPr>
          <w:rFonts w:eastAsia="Times New Roman" w:cs="Times New Roman"/>
          <w:b/>
          <w:bCs/>
          <w:kern w:val="0"/>
          <w:szCs w:val="22"/>
          <w14:ligatures w14:val="none"/>
        </w:rPr>
        <w:t>Project Trident</w:t>
      </w:r>
      <w:r w:rsidRPr="008A0E5E">
        <w:rPr>
          <w:rFonts w:eastAsia="Times New Roman" w:cs="Times New Roman"/>
          <w:kern w:val="0"/>
          <w:szCs w:val="22"/>
          <w14:ligatures w14:val="none"/>
        </w:rPr>
        <w:t xml:space="preserve"> to explore how CPFR and in-stock planning capabilities could be extended through AI and causal machine learning.</w:t>
      </w:r>
    </w:p>
    <w:p w14:paraId="23D10BD9"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The initial phase focused on building a decision-network application capable of modeling in-stock scenarios over time. This foundational work — comprising 18,998 lines of code and 239 pages of documentation — was designed to support both retroactive diagnosis and forward-looking scenario testing.</w:t>
      </w:r>
    </w:p>
    <w:p w14:paraId="25C0586E"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Future development will be informed by CPFR deep dives and workflow analysis, with the long-term goal of supporting digital-twin-like planning capabilities. While this work is still in early stages, it represents a deliberate investment in expanding CPFR’s strategic planning toolkit.</w:t>
      </w:r>
    </w:p>
    <w:p w14:paraId="17192094" w14:textId="4FE5AA8D" w:rsidR="008A0E5E" w:rsidRPr="008A0E5E" w:rsidRDefault="008A0E5E" w:rsidP="00B469CC">
      <w:pPr>
        <w:pStyle w:val="Heading2"/>
      </w:pPr>
      <w:r w:rsidRPr="008A0E5E">
        <w:t>Reflection and Growth Areas</w:t>
      </w:r>
    </w:p>
    <w:p w14:paraId="3A0381C4"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I have received feedback that my technical strengths are well recognized, and I am mindful of the perception that this can sometimes overshadow business process or ways-of-working considerations. In practice, much of my technical focus this year has been foundational and sequential — addressing fragility and scalability gaps that limited broader progress.</w:t>
      </w:r>
    </w:p>
    <w:p w14:paraId="3396184B"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As these foundations stabilize, I am intentionally shifting more attention toward leveraging process gaps to drive durable workflow and tool improvements, with an emphasis on organizational leverage rather than individual execution.</w:t>
      </w:r>
    </w:p>
    <w:p w14:paraId="3A67633B" w14:textId="5C53D0C1" w:rsidR="008A0E5E" w:rsidRPr="008A0E5E" w:rsidRDefault="008A0E5E" w:rsidP="00B469CC">
      <w:pPr>
        <w:pStyle w:val="Heading2"/>
      </w:pPr>
      <w:r w:rsidRPr="008A0E5E">
        <w:t>Looking Ahead</w:t>
      </w:r>
    </w:p>
    <w:p w14:paraId="2B56A7E6"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Looking forward, my focus remains on continuing to mature CPFR into a scalable, resilient, and strategically valuable capability for Chewy through automation, cross-functional alignment, and durable systems that improve planning and vendor partnership.</w:t>
      </w:r>
    </w:p>
    <w:p w14:paraId="3673F7C0"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CPFR sits at the intersection of data, systems, and business execution, and my role has increasingly involved operating at those seams. Much of the impact I have been able to deliver has come from applying technical judgment and systems thinking in service of program-level outcomes — whether stabilizing core workflows, reducing operational fragility, or laying foundations for future capabilities.</w:t>
      </w:r>
    </w:p>
    <w:p w14:paraId="19F44862" w14:textId="77777777" w:rsidR="008A0E5E"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As CPFR continues to stabilize and scale, I see three complementary areas of focus: sustaining excellence in core CPFR execution, contributing to the evolution of CPFR’s operating model and technical foundations, and remaining open to adjacent roles or ways of working where deep technical context combined with cross-team orchestration is central to the value delivered.</w:t>
      </w:r>
    </w:p>
    <w:p w14:paraId="6F41504A" w14:textId="05456B54" w:rsidR="00DD3800" w:rsidRPr="008A0E5E" w:rsidRDefault="008A0E5E" w:rsidP="009E4947">
      <w:pPr>
        <w:spacing w:before="100" w:beforeAutospacing="1" w:after="100" w:afterAutospacing="1"/>
        <w:rPr>
          <w:rFonts w:eastAsia="Times New Roman" w:cs="Times New Roman"/>
          <w:kern w:val="0"/>
          <w:szCs w:val="22"/>
          <w14:ligatures w14:val="none"/>
        </w:rPr>
      </w:pPr>
      <w:r w:rsidRPr="008A0E5E">
        <w:rPr>
          <w:rFonts w:eastAsia="Times New Roman" w:cs="Times New Roman"/>
          <w:kern w:val="0"/>
          <w:szCs w:val="22"/>
          <w14:ligatures w14:val="none"/>
        </w:rPr>
        <w:t>My aim is to continue growing in ways that best serve Chewy’s evolving needs — strengthening CPFR from within, extending its capabilities across adjacent domains, and applying technical and program-level strengths where they can create the greatest long-term leverage.</w:t>
      </w:r>
    </w:p>
    <w:sectPr w:rsidR="00DD3800" w:rsidRPr="008A0E5E" w:rsidSect="008A0E5E">
      <w:pgSz w:w="12240" w:h="15840"/>
      <w:pgMar w:top="720" w:right="720" w:bottom="720" w:left="720" w:header="720" w:footer="720" w:gutter="144"/>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09B4"/>
    <w:multiLevelType w:val="multilevel"/>
    <w:tmpl w:val="F800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1770C"/>
    <w:multiLevelType w:val="multilevel"/>
    <w:tmpl w:val="A5C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47B52"/>
    <w:multiLevelType w:val="multilevel"/>
    <w:tmpl w:val="B26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540155">
    <w:abstractNumId w:val="2"/>
  </w:num>
  <w:num w:numId="2" w16cid:durableId="1890189785">
    <w:abstractNumId w:val="1"/>
  </w:num>
  <w:num w:numId="3" w16cid:durableId="177347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E5E"/>
    <w:rsid w:val="00120E05"/>
    <w:rsid w:val="00641DB4"/>
    <w:rsid w:val="007F3B99"/>
    <w:rsid w:val="008A0E5E"/>
    <w:rsid w:val="009E4947"/>
    <w:rsid w:val="00B469CC"/>
    <w:rsid w:val="00DD3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71FD"/>
  <w15:chartTrackingRefBased/>
  <w15:docId w15:val="{1B358586-FD23-984D-917E-97125FA8F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9CC"/>
    <w:pPr>
      <w:spacing w:before="120" w:after="120" w:line="264" w:lineRule="auto"/>
    </w:pPr>
    <w:rPr>
      <w:sz w:val="22"/>
    </w:rPr>
  </w:style>
  <w:style w:type="paragraph" w:styleId="Heading1">
    <w:name w:val="heading 1"/>
    <w:basedOn w:val="Normal"/>
    <w:next w:val="Normal"/>
    <w:link w:val="Heading1Char"/>
    <w:uiPriority w:val="9"/>
    <w:qFormat/>
    <w:rsid w:val="009E4947"/>
    <w:pPr>
      <w:keepNext/>
      <w:keepLines/>
      <w:spacing w:after="24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uiPriority w:val="9"/>
    <w:unhideWhenUsed/>
    <w:qFormat/>
    <w:rsid w:val="00B469CC"/>
    <w:pPr>
      <w:keepNext/>
      <w:keepLines/>
      <w:pBdr>
        <w:top w:val="single" w:sz="12" w:space="1" w:color="auto"/>
      </w:pBdr>
      <w:spacing w:before="360" w:after="240"/>
      <w:outlineLvl w:val="1"/>
    </w:pPr>
    <w:rPr>
      <w:rFonts w:asciiTheme="majorHAnsi" w:eastAsia="Times New Roman" w:hAnsiTheme="majorHAnsi" w:cstheme="majorBidi"/>
      <w:b/>
      <w:szCs w:val="32"/>
    </w:rPr>
  </w:style>
  <w:style w:type="paragraph" w:styleId="Heading3">
    <w:name w:val="heading 3"/>
    <w:basedOn w:val="Normal"/>
    <w:next w:val="Normal"/>
    <w:link w:val="Heading3Char"/>
    <w:uiPriority w:val="9"/>
    <w:semiHidden/>
    <w:unhideWhenUsed/>
    <w:qFormat/>
    <w:rsid w:val="009E4947"/>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8A0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947"/>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B469CC"/>
    <w:rPr>
      <w:rFonts w:asciiTheme="majorHAnsi" w:eastAsia="Times New Roman" w:hAnsiTheme="majorHAnsi" w:cstheme="majorBidi"/>
      <w:b/>
      <w:sz w:val="22"/>
      <w:szCs w:val="32"/>
    </w:rPr>
  </w:style>
  <w:style w:type="character" w:customStyle="1" w:styleId="Heading3Char">
    <w:name w:val="Heading 3 Char"/>
    <w:basedOn w:val="DefaultParagraphFont"/>
    <w:link w:val="Heading3"/>
    <w:uiPriority w:val="9"/>
    <w:semiHidden/>
    <w:rsid w:val="009E4947"/>
    <w:rPr>
      <w:rFonts w:eastAsiaTheme="majorEastAsia" w:cstheme="majorBidi"/>
      <w:b/>
      <w:sz w:val="22"/>
      <w:szCs w:val="28"/>
    </w:rPr>
  </w:style>
  <w:style w:type="character" w:customStyle="1" w:styleId="Heading4Char">
    <w:name w:val="Heading 4 Char"/>
    <w:basedOn w:val="DefaultParagraphFont"/>
    <w:link w:val="Heading4"/>
    <w:uiPriority w:val="9"/>
    <w:semiHidden/>
    <w:rsid w:val="008A0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E5E"/>
    <w:rPr>
      <w:rFonts w:eastAsiaTheme="majorEastAsia" w:cstheme="majorBidi"/>
      <w:color w:val="272727" w:themeColor="text1" w:themeTint="D8"/>
    </w:rPr>
  </w:style>
  <w:style w:type="paragraph" w:styleId="Title">
    <w:name w:val="Title"/>
    <w:basedOn w:val="Normal"/>
    <w:next w:val="Normal"/>
    <w:link w:val="TitleChar"/>
    <w:uiPriority w:val="10"/>
    <w:qFormat/>
    <w:rsid w:val="008A0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E5E"/>
    <w:pPr>
      <w:spacing w:before="160"/>
      <w:jc w:val="center"/>
    </w:pPr>
    <w:rPr>
      <w:i/>
      <w:iCs/>
      <w:color w:val="404040" w:themeColor="text1" w:themeTint="BF"/>
    </w:rPr>
  </w:style>
  <w:style w:type="character" w:customStyle="1" w:styleId="QuoteChar">
    <w:name w:val="Quote Char"/>
    <w:basedOn w:val="DefaultParagraphFont"/>
    <w:link w:val="Quote"/>
    <w:uiPriority w:val="29"/>
    <w:rsid w:val="008A0E5E"/>
    <w:rPr>
      <w:i/>
      <w:iCs/>
      <w:color w:val="404040" w:themeColor="text1" w:themeTint="BF"/>
    </w:rPr>
  </w:style>
  <w:style w:type="paragraph" w:styleId="ListParagraph">
    <w:name w:val="List Paragraph"/>
    <w:basedOn w:val="Normal"/>
    <w:uiPriority w:val="34"/>
    <w:qFormat/>
    <w:rsid w:val="008A0E5E"/>
    <w:pPr>
      <w:ind w:left="720"/>
      <w:contextualSpacing/>
    </w:pPr>
  </w:style>
  <w:style w:type="character" w:styleId="IntenseEmphasis">
    <w:name w:val="Intense Emphasis"/>
    <w:basedOn w:val="DefaultParagraphFont"/>
    <w:uiPriority w:val="21"/>
    <w:qFormat/>
    <w:rsid w:val="008A0E5E"/>
    <w:rPr>
      <w:i/>
      <w:iCs/>
      <w:color w:val="0F4761" w:themeColor="accent1" w:themeShade="BF"/>
    </w:rPr>
  </w:style>
  <w:style w:type="paragraph" w:styleId="IntenseQuote">
    <w:name w:val="Intense Quote"/>
    <w:basedOn w:val="Normal"/>
    <w:next w:val="Normal"/>
    <w:link w:val="IntenseQuoteChar"/>
    <w:uiPriority w:val="30"/>
    <w:qFormat/>
    <w:rsid w:val="008A0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E5E"/>
    <w:rPr>
      <w:i/>
      <w:iCs/>
      <w:color w:val="0F4761" w:themeColor="accent1" w:themeShade="BF"/>
    </w:rPr>
  </w:style>
  <w:style w:type="character" w:styleId="IntenseReference">
    <w:name w:val="Intense Reference"/>
    <w:basedOn w:val="DefaultParagraphFont"/>
    <w:uiPriority w:val="32"/>
    <w:qFormat/>
    <w:rsid w:val="008A0E5E"/>
    <w:rPr>
      <w:b/>
      <w:bCs/>
      <w:smallCaps/>
      <w:color w:val="0F4761" w:themeColor="accent1" w:themeShade="BF"/>
      <w:spacing w:val="5"/>
    </w:rPr>
  </w:style>
  <w:style w:type="paragraph" w:styleId="NormalWeb">
    <w:name w:val="Normal (Web)"/>
    <w:basedOn w:val="Normal"/>
    <w:uiPriority w:val="99"/>
    <w:semiHidden/>
    <w:unhideWhenUsed/>
    <w:rsid w:val="008A0E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0E5E"/>
    <w:rPr>
      <w:b/>
      <w:bCs/>
    </w:rPr>
  </w:style>
  <w:style w:type="character" w:styleId="LineNumber">
    <w:name w:val="line number"/>
    <w:basedOn w:val="DefaultParagraphFont"/>
    <w:uiPriority w:val="99"/>
    <w:semiHidden/>
    <w:unhideWhenUsed/>
    <w:rsid w:val="009E4947"/>
    <w:rPr>
      <w:rFonts w:asciiTheme="minorHAnsi" w:hAnsiTheme="minorHAnsi"/>
      <w:color w:val="7F7F7F" w:themeColor="text1" w:themeTint="8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3</Pages>
  <Words>1276</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2</cp:revision>
  <dcterms:created xsi:type="dcterms:W3CDTF">2025-12-27T00:15:00Z</dcterms:created>
  <dcterms:modified xsi:type="dcterms:W3CDTF">2025-12-27T00:42:00Z</dcterms:modified>
</cp:coreProperties>
</file>