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0"/>
      </w:pPr>
      <w:r>
        <w:rPr>
          <w:rFonts w:ascii="Aptos" w:cs="Aptos" w:eastAsia="Aptos" w:hAnsi="Aptos"/>
          <w:b/>
          <w:bCs/>
          <w:color w:val="1F2023"/>
          <w:sz w:val="26"/>
          <w:szCs w:val="26"/>
        </w:rPr>
        <w:t xml:space="preserve">SPARK × CPFR/VC — Planning Alignment</w:t>
      </w:r>
    </w:p>
    <w:p>
      <w:pPr>
        <w:spacing w:before="0" w:after="10"/>
      </w:pPr>
      <w:r>
        <w:rPr>
          <w:rFonts w:ascii="Aptos" w:cs="Aptos" w:eastAsia="Aptos" w:hAnsi="Aptos"/>
          <w:color w:val="58595B"/>
          <w:sz w:val="17"/>
          <w:szCs w:val="17"/>
        </w:rPr>
        <w:t xml:space="preserve">3/23/2026  |  30 min  |  Miles, Jeremy Wartnick, John DeJesus, Phanindher, Nelson  |  Opt: Palmer, Keinan</w:t>
      </w:r>
    </w:p>
    <w:p>
      <w:pPr>
        <w:spacing w:before="40" w:after="40"/>
      </w:pPr>
      <w:r>
        <w:rPr>
          <w:rFonts w:ascii="Aptos" w:cs="Aptos" w:eastAsia="Aptos" w:hAnsi="Aptos"/>
          <w:i/>
          <w:iCs/>
          <w:color w:val="58595B"/>
          <w:sz w:val="18"/>
          <w:szCs w:val="18"/>
        </w:rPr>
        <w:t xml:space="preserve">Objective: Understand SPARK’s role in VC data pipeline, map dependencies for the combined MVP scope, confirm bridge commitments for integration scoping.</w:t>
      </w:r>
    </w:p>
    <w:p>
      <w:pPr>
        <w:pBdr>
          <w:bottom w:val="single" w:color="2E75B6" w:sz="3" w:space="1"/>
        </w:pBdr>
        <w:spacing w:before="60" w:after="60"/>
      </w:pPr>
    </w:p>
    <w:p>
      <w:pPr>
        <w:spacing w:before="160" w:after="40"/>
      </w:pPr>
      <w:r>
        <w:rPr>
          <w:rFonts w:ascii="Aptos" w:cs="Aptos" w:eastAsia="Aptos" w:hAnsi="Aptos"/>
          <w:b/>
          <w:bCs/>
          <w:color w:val="2E75B6"/>
          <w:sz w:val="22"/>
          <w:szCs w:val="22"/>
        </w:rPr>
        <w:t xml:space="preserve">OPEN — Set the Frame</w:t>
      </w:r>
      <w:r>
        <w:rPr>
          <w:rFonts w:ascii="Aptos" w:cs="Aptos" w:eastAsia="Aptos" w:hAnsi="Aptos"/>
          <w:i/>
          <w:iCs/>
          <w:color w:val="58595B"/>
          <w:sz w:val="18"/>
          <w:szCs w:val="18"/>
        </w:rPr>
        <w:t xml:space="preserve">  (2 min)</w:t>
      </w:r>
    </w:p>
    <w:p>
      <w:pPr>
        <w:spacing w:before="30" w:after="30"/>
        <w:ind w:left="216"/>
      </w:pPr>
      <w:r>
        <w:rPr>
          <w:rFonts w:ascii="Aptos" w:cs="Aptos" w:eastAsia="Aptos" w:hAnsi="Aptos"/>
          <w:b/>
          <w:bCs/>
          <w:i w:val="false"/>
          <w:iCs w:val="false"/>
          <w:color w:val="2E75B6"/>
          <w:sz w:val="19"/>
          <w:szCs w:val="19"/>
        </w:rPr>
        <w:t xml:space="preserve">Say: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Thanks for making time. This follows from the 3/20 CPH check-in with Justin and Harish. Next step in that plan is understanding how SPARK fits so I can build a fully-formed MVP scope for engineering LOE. I’ll be direct: I don’t have a clear technical picture of SPARK yet. That’s what I need today.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F2023"/>
                <w:sz w:val="18"/>
                <w:szCs w:val="18"/>
              </w:rPr>
              <w:t xml:space="preserve">⚠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8595B"/>
                <w:sz w:val="18"/>
                <w:szCs w:val="18"/>
              </w:rPr>
              <w:t xml:space="preserve">Anchors your authority (executing a plan), names the gap honestly, scopes the meeting.</w:t>
            </w:r>
          </w:p>
        </w:tc>
      </w:tr>
    </w:tbl>
    <w:p>
      <w:pPr>
        <w:spacing w:before="160" w:after="40"/>
      </w:pPr>
      <w:r>
        <w:rPr>
          <w:rFonts w:ascii="Aptos" w:cs="Aptos" w:eastAsia="Aptos" w:hAnsi="Aptos"/>
          <w:b/>
          <w:bCs/>
          <w:color w:val="2E75B6"/>
          <w:sz w:val="22"/>
          <w:szCs w:val="22"/>
        </w:rPr>
        <w:t xml:space="preserve">MOVE 1 — Learn SPARK</w:t>
      </w:r>
      <w:r>
        <w:rPr>
          <w:rFonts w:ascii="Aptos" w:cs="Aptos" w:eastAsia="Aptos" w:hAnsi="Aptos"/>
          <w:i/>
          <w:iCs/>
          <w:color w:val="58595B"/>
          <w:sz w:val="18"/>
          <w:szCs w:val="18"/>
        </w:rPr>
        <w:t xml:space="preserve">  (10 min)</w:t>
      </w:r>
    </w:p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20"/>
          <w:szCs w:val="20"/>
        </w:rPr>
        <w:t xml:space="preserve">Core Q: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20"/>
          <w:szCs w:val="20"/>
        </w:rPr>
        <w:t xml:space="preserve">What goes in, what comes out, what has to be true for CPH to use it?</w:t>
      </w:r>
    </w:p>
    <w:p>
      <w:pPr>
        <w:spacing w:before="30" w:after="30"/>
        <w:ind w:left="216"/>
      </w:pPr>
      <w:r>
        <w:rPr>
          <w:rFonts w:ascii="Aptos" w:cs="Aptos" w:eastAsia="Aptos" w:hAnsi="Aptos"/>
          <w:b/>
          <w:bCs/>
          <w:i w:val="false"/>
          <w:iCs w:val="false"/>
          <w:color w:val="2E75B6"/>
          <w:sz w:val="19"/>
          <w:szCs w:val="19"/>
        </w:rPr>
        <w:t xml:space="preserve">Say: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Jeremy, walk me through SPARK at a planning level—inputs, outputs, and how it connects to CPH. Nelson, jump in wherever it helps.</w:t>
      </w:r>
    </w:p>
    <w:p>
      <w:pPr>
        <w:spacing w:before="6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Listen for: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Data sources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same Snowflake layer as CPFR, separate pipeline, or other?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Output format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transformed data, files, API endpoints? Where does it land?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CPH boundary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feeds </w:t>
      </w:r>
      <w:r>
        <w:rPr>
          <w:rFonts w:ascii="Aptos" w:cs="Aptos" w:eastAsia="Aptos" w:hAnsi="Aptos"/>
          <w:b/>
          <w:bCs/>
          <w:i/>
          <w:iCs/>
          <w:color w:val="1F2023"/>
          <w:sz w:val="19"/>
          <w:szCs w:val="19"/>
        </w:rPr>
        <w:t xml:space="preserve">to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 CPH, feeds </w:t>
      </w:r>
      <w:r>
        <w:rPr>
          <w:rFonts w:ascii="Aptos" w:cs="Aptos" w:eastAsia="Aptos" w:hAnsi="Aptos"/>
          <w:b/>
          <w:bCs/>
          <w:i/>
          <w:iCs/>
          <w:color w:val="1F2023"/>
          <w:sz w:val="19"/>
          <w:szCs w:val="19"/>
        </w:rPr>
        <w:t xml:space="preserve">into something CPH consumes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, or parallel? (= dependency vs. coordination)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CPFR overlap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any SPARK involvement in CPFR flows, or purely VC?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F2023"/>
                <w:sz w:val="18"/>
                <w:szCs w:val="18"/>
              </w:rPr>
              <w:t xml:space="preserve">☆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8595B"/>
                <w:sz w:val="18"/>
                <w:szCs w:val="18"/>
              </w:rPr>
              <w:t xml:space="preserve">Ask for a sketch: “Could you walk through the data flow—source → SPARK → destination—even verbally?”</w:t>
            </w:r>
          </w:p>
        </w:tc>
      </w:tr>
    </w:tbl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If it gets technical: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“So SPARK takes [X], does [Y], produces [Z]—is that right?”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 Restate to confirm; don’t fake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EC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C62828"/>
                <w:sz w:val="18"/>
                <w:szCs w:val="18"/>
              </w:rPr>
              <w:t xml:space="preserve">If Keinan present: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8595B"/>
                <w:sz w:val="18"/>
                <w:szCs w:val="18"/>
              </w:rPr>
              <w:t xml:space="preserve">May steer toward “SPARK can serve VC independently.” Don’t contest—note it: “Useful. For the MVP scope, I want to capture what SPARK handles alone vs. what needs CPH.”</w:t>
            </w:r>
          </w:p>
        </w:tc>
      </w:tr>
    </w:tbl>
    <w:p>
      <w:pPr>
        <w:spacing w:before="160" w:after="40"/>
      </w:pPr>
      <w:r>
        <w:rPr>
          <w:rFonts w:ascii="Aptos" w:cs="Aptos" w:eastAsia="Aptos" w:hAnsi="Aptos"/>
          <w:b/>
          <w:bCs/>
          <w:color w:val="2E75B6"/>
          <w:sz w:val="22"/>
          <w:szCs w:val="22"/>
        </w:rPr>
        <w:t xml:space="preserve">MOVE 2 — Map the Dependency Landscape</w:t>
      </w:r>
      <w:r>
        <w:rPr>
          <w:rFonts w:ascii="Aptos" w:cs="Aptos" w:eastAsia="Aptos" w:hAnsi="Aptos"/>
          <w:i/>
          <w:iCs/>
          <w:color w:val="58595B"/>
          <w:sz w:val="18"/>
          <w:szCs w:val="18"/>
        </w:rPr>
        <w:t xml:space="preserve">  (10 min)</w:t>
      </w:r>
    </w:p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20"/>
          <w:szCs w:val="20"/>
        </w:rPr>
        <w:t xml:space="preserve">Core Q: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20"/>
          <w:szCs w:val="20"/>
        </w:rPr>
        <w:t xml:space="preserve">Which VC capabilities are SPARK-only, CPH-only, or require both?</w:t>
      </w:r>
    </w:p>
    <w:p>
      <w:pPr>
        <w:spacing w:before="30" w:after="30"/>
        <w:ind w:left="216"/>
      </w:pPr>
      <w:r>
        <w:rPr>
          <w:rFonts w:ascii="Aptos" w:cs="Aptos" w:eastAsia="Aptos" w:hAnsi="Aptos"/>
          <w:b/>
          <w:bCs/>
          <w:i w:val="false"/>
          <w:iCs w:val="false"/>
          <w:color w:val="2E75B6"/>
          <w:sz w:val="19"/>
          <w:szCs w:val="19"/>
        </w:rPr>
        <w:t xml:space="preserve">Say: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Let me walk through the major VC requirements—can we tag each one? I need the MVP I hand Harish’s team to have no dangling threads on either side.</w:t>
      </w:r>
    </w:p>
    <w:p>
      <w:pPr>
        <w:spacing w:before="6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Probe each: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Chargeback data in CPH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SPARK-delivered, CPH-rendered, or both?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Violation tracking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same question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Email distribution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BRD says replace “Python and SPARK-based processes.” What does SPARK do now; what would CPH take over?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Vendor self-service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dispute resolution, report access = CPH-only? Confirm.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Data integrity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does Jeremy’s team certify quality before CPH can render?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F2023"/>
                <w:sz w:val="18"/>
                <w:szCs w:val="18"/>
              </w:rPr>
              <w:t xml:space="preserve">⚠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8595B"/>
                <w:sz w:val="18"/>
                <w:szCs w:val="18"/>
              </w:rPr>
              <w:t xml:space="preserve">You’re mapping the split boundary without calling it that. Frame: “which system owns what”—not “could VC survive without CPH.”</w:t>
            </w:r>
          </w:p>
        </w:tc>
      </w:tr>
    </w:tbl>
    <w:p>
      <w:pPr>
        <w:spacing w:before="30" w:after="30"/>
        <w:ind w:left="216"/>
      </w:pPr>
      <w:r>
        <w:rPr>
          <w:rFonts w:ascii="Aptos" w:cs="Aptos" w:eastAsia="Aptos" w:hAnsi="Aptos"/>
          <w:b/>
          <w:bCs/>
          <w:i w:val="false"/>
          <w:iCs w:val="false"/>
          <w:color w:val="2E75B6"/>
          <w:sz w:val="19"/>
          <w:szCs w:val="19"/>
        </w:rPr>
        <w:t xml:space="preserve">Say: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Any SPARK blockers right now that would delay the VC side of the combined MVP—things Harish’s team would need resolved before estimating CPH lift?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EC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C62828"/>
                <w:sz w:val="18"/>
                <w:szCs w:val="18"/>
              </w:rPr>
              <w:t xml:space="preserve">If Keinan present: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8595B"/>
                <w:sz w:val="18"/>
                <w:szCs w:val="18"/>
              </w:rPr>
              <w:t xml:space="preserve">If “SPARK-only” gained traction in Move 1, specifics here will test it. Self-service, contact mgmt, and distribution all live in CPH. Let the details do the work.</w:t>
            </w:r>
          </w:p>
        </w:tc>
      </w:tr>
    </w:tbl>
    <w:p>
      <w:pPr>
        <w:spacing w:before="160" w:after="40"/>
      </w:pPr>
      <w:r>
        <w:rPr>
          <w:rFonts w:ascii="Aptos" w:cs="Aptos" w:eastAsia="Aptos" w:hAnsi="Aptos"/>
          <w:b/>
          <w:bCs/>
          <w:color w:val="2E75B6"/>
          <w:sz w:val="22"/>
          <w:szCs w:val="22"/>
        </w:rPr>
        <w:t xml:space="preserve">MOVE 3 — Confirm Bridge Commitment</w:t>
      </w:r>
      <w:r>
        <w:rPr>
          <w:rFonts w:ascii="Aptos" w:cs="Aptos" w:eastAsia="Aptos" w:hAnsi="Aptos"/>
          <w:i/>
          <w:iCs/>
          <w:color w:val="58595B"/>
          <w:sz w:val="18"/>
          <w:szCs w:val="18"/>
        </w:rPr>
        <w:t xml:space="preserve">  (5 min)</w:t>
      </w:r>
    </w:p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20"/>
          <w:szCs w:val="20"/>
        </w:rPr>
        <w:t xml:space="preserve">Core Q: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20"/>
          <w:szCs w:val="20"/>
        </w:rPr>
        <w:t xml:space="preserve">Jeremy’s offer to help beyond SPARK scope—what’s been done, what’s the actual ask?</w:t>
      </w:r>
    </w:p>
    <w:p>
      <w:pPr>
        <w:spacing w:before="30" w:after="30"/>
        <w:ind w:left="216"/>
      </w:pPr>
      <w:r>
        <w:rPr>
          <w:rFonts w:ascii="Aptos" w:cs="Aptos" w:eastAsia="Aptos" w:hAnsi="Aptos"/>
          <w:b/>
          <w:bCs/>
          <w:i w:val="false"/>
          <w:iCs w:val="false"/>
          <w:color w:val="2E75B6"/>
          <w:sz w:val="19"/>
          <w:szCs w:val="19"/>
        </w:rPr>
        <w:t xml:space="preserve">Say: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Jeremy, you’ve mentioned willingness to help with CPH-side engineering conversations beyond SPARK. Has that started, or is it ahead of us? What would it look like?</w:t>
      </w:r>
    </w:p>
    <w:p>
      <w:pPr>
        <w:spacing w:before="6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Listen for: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Already done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if he’s already talking to Gangi/CPH eng, the bridge is further along than expected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Not started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offer: “Would it help if I set up a session with you and Gangi?”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Consult vs. participate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— answering questions if asked ≠ joining scoping sessions. Clarify which.</w:t>
      </w:r>
    </w:p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Anchor it: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“Would you be open to joining the LOE scoping session with Harish and Gangi? Your SPARK–CPH boundary knowledge would be valuable.”</w:t>
      </w:r>
    </w:p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John DeJesus: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If Jeremy defers on availability, John is the capacity gatekeeper. Probe: “Does this fit current bandwidth or need separate carve-out?”</w:t>
      </w:r>
    </w:p>
    <w:p>
      <w:pPr>
        <w:spacing w:before="160" w:after="40"/>
      </w:pPr>
      <w:r>
        <w:rPr>
          <w:rFonts w:ascii="Aptos" w:cs="Aptos" w:eastAsia="Aptos" w:hAnsi="Aptos"/>
          <w:b/>
          <w:bCs/>
          <w:color w:val="2E75B6"/>
          <w:sz w:val="22"/>
          <w:szCs w:val="22"/>
        </w:rPr>
        <w:t xml:space="preserve">CLOSE — Recap &amp; Anchor</w:t>
      </w:r>
      <w:r>
        <w:rPr>
          <w:rFonts w:ascii="Aptos" w:cs="Aptos" w:eastAsia="Aptos" w:hAnsi="Aptos"/>
          <w:i/>
          <w:iCs/>
          <w:color w:val="58595B"/>
          <w:sz w:val="18"/>
          <w:szCs w:val="18"/>
        </w:rPr>
        <w:t xml:space="preserve">  (3 min)</w:t>
      </w:r>
    </w:p>
    <w:p>
      <w:pPr>
        <w:spacing w:before="30" w:after="30"/>
        <w:ind w:left="216"/>
      </w:pPr>
      <w:r>
        <w:rPr>
          <w:rFonts w:ascii="Aptos" w:cs="Aptos" w:eastAsia="Aptos" w:hAnsi="Aptos"/>
          <w:b/>
          <w:bCs/>
          <w:i w:val="false"/>
          <w:iCs w:val="false"/>
          <w:color w:val="2E75B6"/>
          <w:sz w:val="19"/>
          <w:szCs w:val="19"/>
        </w:rPr>
        <w:t xml:space="preserve">Say: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Let me make sure I’ve got this right…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Your 1–2 sentence description of what SPARK does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Which VC capabilities are SPARK vs. CPH vs. both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Any blockers or dependencies affecting MVP timing</w:t>
      </w:r>
    </w:p>
    <w:p>
      <w:pPr>
        <w:spacing w:before="10" w:after="10"/>
        <w:ind w:left="36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E75B6"/>
          <w:sz w:val="19"/>
          <w:szCs w:val="19"/>
        </w:rPr>
        <w:t xml:space="preserve">—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Jeremy’s bridge commitment + next step</w:t>
      </w:r>
    </w:p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If open threads remain: </w:t>
      </w:r>
      <w:r>
        <w:rPr>
          <w:rFonts w:ascii="Aptos" w:cs="Aptos" w:eastAsia="Aptos" w:hAnsi="Aptos"/>
          <w:b w:val="false"/>
          <w:bCs w:val="false"/>
          <w:i/>
          <w:iCs/>
          <w:color w:val="1F2023"/>
          <w:sz w:val="19"/>
          <w:szCs w:val="19"/>
        </w:rPr>
        <w:t xml:space="preserve">“Can we do a follow-up in 1–2 weeks to validate I’ve captured SPARK dependencies correctly in the MVP scope?”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F2023"/>
                <w:sz w:val="18"/>
                <w:szCs w:val="18"/>
              </w:rPr>
              <w:t xml:space="preserve">⚠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8595B"/>
                <w:sz w:val="18"/>
                <w:szCs w:val="18"/>
              </w:rPr>
              <w:t xml:space="preserve">Follow-up email same day. Restate: what SPARK does (your words), dependency map, commitments, next steps. CC all. This is STO behavior in action.</w:t>
            </w:r>
          </w:p>
        </w:tc>
      </w:tr>
    </w:tbl>
    <w:p>
      <w:pPr>
        <w:pBdr>
          <w:bottom w:val="single" w:color="2E75B6" w:sz="3" w:space="1"/>
        </w:pBdr>
        <w:spacing w:before="60" w:after="60"/>
      </w:pPr>
    </w:p>
    <w:p>
      <w:pPr>
        <w:spacing w:before="20" w:after="20"/>
      </w:pPr>
      <w:r>
        <w:rPr>
          <w:rFonts w:ascii="Aptos" w:cs="Aptos" w:eastAsia="Aptos" w:hAnsi="Aptos"/>
          <w:b/>
          <w:bCs/>
          <w:i w:val="false"/>
          <w:iCs w:val="false"/>
          <w:color w:val="1F2023"/>
          <w:sz w:val="19"/>
          <w:szCs w:val="19"/>
        </w:rPr>
        <w:t xml:space="preserve">If time runs short: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1F2023"/>
          <w:sz w:val="19"/>
          <w:szCs w:val="19"/>
        </w:rPr>
        <w:t xml:space="preserve">Move 1 &gt; Move 2 &gt; Move 3. Compress Move 2 to async: “Can I send you the VC requirements and have you tag SPARK vs. CPH?”</w:t>
      </w:r>
    </w:p>
    <w:sectPr>
      <w:pgSz w:w="12240" w:h="15840" w:orient="portrait"/>
      <w:pgMar w:top="864" w:right="1296" w:bottom="864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2026-03-23T18:48:32.445Z</dcterms:created>
  <dcterms:modified xsi:type="dcterms:W3CDTF">2026-03-23T18:48:32.445Z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