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4FD" w14:textId="77777777" w:rsidR="003C6BE6" w:rsidRDefault="003C6BE6" w:rsidP="003C6BE6">
      <w:pPr>
        <w:pStyle w:val="Header"/>
        <w:tabs>
          <w:tab w:val="clear" w:pos="4680"/>
          <w:tab w:val="clear" w:pos="9360"/>
          <w:tab w:val="center" w:pos="5400"/>
          <w:tab w:val="right" w:pos="10800"/>
        </w:tabs>
        <w:spacing w:after="240" w:line="264" w:lineRule="auto"/>
      </w:pPr>
      <w:r>
        <w:t>CPFR Data Platform and Chewy Partner Hub Portal</w:t>
      </w:r>
      <w:r>
        <w:tab/>
      </w:r>
      <w:r>
        <w:tab/>
        <w:t>Project Entitlement</w:t>
      </w:r>
    </w:p>
    <w:p w14:paraId="299D0BE4" w14:textId="67E6C7CB" w:rsidR="00EB609A" w:rsidRPr="00D0092F" w:rsidRDefault="00EB609A" w:rsidP="009206BA">
      <w:pPr>
        <w:pStyle w:val="Heading1"/>
      </w:pPr>
      <w:r w:rsidRPr="00D0092F">
        <w:t>Executive Summary</w:t>
      </w:r>
    </w:p>
    <w:p w14:paraId="2DF64E4F" w14:textId="6F503AEB" w:rsidR="009206BA" w:rsidRPr="009206BA" w:rsidRDefault="009206BA" w:rsidP="009206BA">
      <w:pPr>
        <w:spacing w:line="240" w:lineRule="auto"/>
        <w:rPr>
          <w:szCs w:val="20"/>
        </w:rPr>
      </w:pPr>
      <w:r w:rsidRPr="009206BA">
        <w:rPr>
          <w:szCs w:val="20"/>
        </w:rPr>
        <w:t>Chewy’s CPFR program is transforming how supply-chain data is shared and understood. Today, weekly emailed reports—each built from multiple queries</w:t>
      </w:r>
      <w:r w:rsidR="00390734">
        <w:rPr>
          <w:szCs w:val="20"/>
        </w:rPr>
        <w:t xml:space="preserve">—and </w:t>
      </w:r>
      <w:r w:rsidRPr="009206BA">
        <w:rPr>
          <w:szCs w:val="20"/>
        </w:rPr>
        <w:t>parallel VDS processes</w:t>
      </w:r>
      <w:r w:rsidR="00390734">
        <w:rPr>
          <w:szCs w:val="20"/>
        </w:rPr>
        <w:t xml:space="preserve">, </w:t>
      </w:r>
      <w:r w:rsidRPr="009206BA">
        <w:rPr>
          <w:szCs w:val="20"/>
        </w:rPr>
        <w:t>fragment visibility, duplicate effort, and limit scalability.</w:t>
      </w:r>
    </w:p>
    <w:p w14:paraId="61B9CB5A" w14:textId="08AAD389" w:rsidR="009206BA" w:rsidRDefault="009206BA" w:rsidP="009206BA">
      <w:pPr>
        <w:spacing w:line="240" w:lineRule="auto"/>
        <w:rPr>
          <w:szCs w:val="20"/>
        </w:rPr>
      </w:pPr>
      <w:r w:rsidRPr="009206BA">
        <w:rPr>
          <w:szCs w:val="20"/>
        </w:rPr>
        <w:t>This initiative unites two complementary components: a centralized data platform in Snowflake that delivers governed, daily CPFR data at scale</w:t>
      </w:r>
      <w:r w:rsidR="00390734">
        <w:rPr>
          <w:szCs w:val="20"/>
        </w:rPr>
        <w:t>,</w:t>
      </w:r>
      <w:r w:rsidRPr="009206BA">
        <w:rPr>
          <w:szCs w:val="20"/>
        </w:rPr>
        <w:t xml:space="preserv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w:t>
      </w:r>
      <w:r>
        <w:rPr>
          <w:szCs w:val="20"/>
        </w:rPr>
        <w:t xml:space="preserve"> </w:t>
      </w:r>
      <w:r w:rsidR="00120C86" w:rsidRPr="00120C86">
        <w:rPr>
          <w:szCs w:val="20"/>
        </w:rPr>
        <w:t>The initiative delivers $1.</w:t>
      </w:r>
      <w:r w:rsidR="00AF2B5A">
        <w:rPr>
          <w:szCs w:val="20"/>
        </w:rPr>
        <w:t>4</w:t>
      </w:r>
      <w:r w:rsidR="00120C86" w:rsidRPr="00120C86">
        <w:rPr>
          <w:szCs w:val="20"/>
        </w:rPr>
        <w:t>M in recurring annual CPFR-specific operational value (ISM capacity expansion, data governance efficiency, cost avoidance enablement), with additional unmeasured vendor-side efficiency gains strengthening collaborative relationships. Combined with VC and Chargeback integration, this unified platform investment supports Chewy's digital modernization strategy while establishing infrastructure for future advanced analytics capabilities.</w:t>
      </w:r>
    </w:p>
    <w:p w14:paraId="31E4327C" w14:textId="74A464BE" w:rsidR="00EB609A" w:rsidRPr="00D0092F" w:rsidRDefault="00EB609A" w:rsidP="009206BA">
      <w:pPr>
        <w:pStyle w:val="Heading1"/>
      </w:pPr>
      <w:r w:rsidRPr="00D0092F">
        <w:t>Context and Current State</w:t>
      </w:r>
    </w:p>
    <w:p w14:paraId="2DF43258" w14:textId="77777777" w:rsidR="009206BA" w:rsidRPr="009206BA" w:rsidRDefault="009206BA" w:rsidP="009206BA">
      <w:pPr>
        <w:spacing w:line="240" w:lineRule="auto"/>
        <w:rPr>
          <w:szCs w:val="20"/>
        </w:rPr>
      </w:pPr>
      <w:r w:rsidRPr="009206BA">
        <w:rPr>
          <w:szCs w:val="20"/>
        </w:rPr>
        <w:t>Across Chewy’s supply chain, CPFR activities span multiple processes and workstreams that depend on parallel data pulls, manual coordination, and frequent reconciliation. These distributed practices create friction that limits scale and consistency.</w:t>
      </w:r>
    </w:p>
    <w:p w14:paraId="7D5CF534" w14:textId="627AEA21" w:rsidR="009206BA" w:rsidRPr="009206BA" w:rsidRDefault="009206BA" w:rsidP="009206BA">
      <w:pPr>
        <w:spacing w:line="240" w:lineRule="auto"/>
        <w:rPr>
          <w:szCs w:val="20"/>
        </w:rPr>
      </w:pPr>
      <w:r w:rsidRPr="009206BA">
        <w:rPr>
          <w:szCs w:val="20"/>
        </w:rPr>
        <w:t>Today, CPFR distributes weekly inventory and forecast reports to more than 2,300 vendors. While some steps are automated, each cycle still depends on semi-manual initiation</w:t>
      </w:r>
      <w:r>
        <w:rPr>
          <w:szCs w:val="20"/>
        </w:rPr>
        <w:t xml:space="preserve">, </w:t>
      </w:r>
      <w:r w:rsidRPr="009206BA">
        <w:rPr>
          <w:szCs w:val="20"/>
        </w:rPr>
        <w:t>recurring adjustments</w:t>
      </w:r>
      <w:r>
        <w:rPr>
          <w:szCs w:val="20"/>
        </w:rPr>
        <w:t xml:space="preserve"> to </w:t>
      </w:r>
      <w:r w:rsidRPr="009206BA">
        <w:rPr>
          <w:szCs w:val="20"/>
        </w:rPr>
        <w:t>contact and report configurations</w:t>
      </w:r>
      <w:r>
        <w:rPr>
          <w:szCs w:val="20"/>
        </w:rPr>
        <w:t>, and frequent re-sends</w:t>
      </w:r>
      <w:r w:rsidRPr="009206BA">
        <w:rPr>
          <w:szCs w:val="20"/>
        </w:rPr>
        <w:t xml:space="preserve">.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w:t>
      </w:r>
      <w:r>
        <w:rPr>
          <w:szCs w:val="20"/>
        </w:rPr>
        <w:t>data</w:t>
      </w:r>
      <w:r w:rsidRPr="009206BA">
        <w:rPr>
          <w:szCs w:val="20"/>
        </w:rPr>
        <w:t>.</w:t>
      </w:r>
    </w:p>
    <w:p w14:paraId="38A292CC" w14:textId="2C980065" w:rsidR="009206BA" w:rsidRDefault="009206BA" w:rsidP="009206BA">
      <w:pPr>
        <w:spacing w:line="240" w:lineRule="auto"/>
        <w:rPr>
          <w:szCs w:val="20"/>
        </w:rPr>
      </w:pPr>
      <w:r w:rsidRPr="009206BA">
        <w:rPr>
          <w:szCs w:val="20"/>
        </w:rPr>
        <w:t>VDS currently provides on-demand dashboards for a smaller premium vendor group. Its session-based model is effective for deep exploration and security isolation, yet scales poorly to thousands of concurrent vendors and complicates historical comparisons.</w:t>
      </w:r>
      <w:r>
        <w:rPr>
          <w:szCs w:val="20"/>
        </w:rPr>
        <w:t xml:space="preserve"> </w:t>
      </w:r>
      <w:r w:rsidRPr="009206BA">
        <w:rPr>
          <w:szCs w:val="20"/>
        </w:rPr>
        <w:t>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2B82EAED" w14:textId="3415852B" w:rsidR="00EB609A" w:rsidRPr="00EB609A" w:rsidRDefault="00EB609A" w:rsidP="009206BA">
      <w:pPr>
        <w:pStyle w:val="Heading1"/>
      </w:pPr>
      <w:r w:rsidRPr="00EB609A">
        <w:t>Entitlement Overview — Classes of Benefit</w:t>
      </w:r>
    </w:p>
    <w:p w14:paraId="25CFC962" w14:textId="7B5F990B" w:rsidR="009206BA" w:rsidRPr="009206BA" w:rsidRDefault="009206BA" w:rsidP="009206BA">
      <w:pPr>
        <w:spacing w:line="240" w:lineRule="auto"/>
        <w:rPr>
          <w:szCs w:val="20"/>
        </w:rPr>
      </w:pPr>
      <w:r w:rsidRPr="009206BA">
        <w:rPr>
          <w:szCs w:val="20"/>
        </w:rPr>
        <w:t>1. Operational Cohesion and Efficiency</w:t>
      </w:r>
    </w:p>
    <w:p w14:paraId="7359CA2F" w14:textId="03FD7721" w:rsidR="009206BA" w:rsidRPr="009206BA" w:rsidRDefault="009206BA" w:rsidP="009206BA">
      <w:pPr>
        <w:spacing w:line="240" w:lineRule="auto"/>
        <w:rPr>
          <w:szCs w:val="20"/>
        </w:rPr>
      </w:pPr>
      <w:r w:rsidRPr="009206BA">
        <w:rPr>
          <w:szCs w:val="20"/>
        </w:rPr>
        <w:t xml:space="preserve">A unified platform eliminates redundant </w:t>
      </w:r>
      <w:r w:rsidR="004120ED">
        <w:rPr>
          <w:szCs w:val="20"/>
        </w:rPr>
        <w:t>action</w:t>
      </w:r>
      <w:r w:rsidRPr="009206BA">
        <w:rPr>
          <w:szCs w:val="20"/>
        </w:rPr>
        <w:t xml:space="preserve"> and manual reconciliations. Internal teams and vendors will draw from the same governed data sources, ensuring consistent interpretation of fill rate, PDP, forecast, and other key metrics. Automated refresh and role-based access</w:t>
      </w:r>
      <w:r w:rsidR="00120C86">
        <w:rPr>
          <w:szCs w:val="20"/>
        </w:rPr>
        <w:t xml:space="preserve"> that </w:t>
      </w:r>
      <w:r w:rsidRPr="009206BA">
        <w:rPr>
          <w:szCs w:val="20"/>
        </w:rPr>
        <w:t>ensur</w:t>
      </w:r>
      <w:r w:rsidR="00120C86">
        <w:rPr>
          <w:szCs w:val="20"/>
        </w:rPr>
        <w:t>es</w:t>
      </w:r>
      <w:r w:rsidRPr="009206BA">
        <w:rPr>
          <w:szCs w:val="20"/>
        </w:rPr>
        <w:t xml:space="preserve"> each vendor sees only their own data</w:t>
      </w:r>
      <w:r w:rsidR="00120C86">
        <w:rPr>
          <w:szCs w:val="20"/>
        </w:rPr>
        <w:t xml:space="preserve"> </w:t>
      </w:r>
      <w:r w:rsidRPr="009206BA">
        <w:rPr>
          <w:szCs w:val="20"/>
        </w:rPr>
        <w:t xml:space="preserve">replace </w:t>
      </w:r>
      <w:r w:rsidR="000D00FC">
        <w:rPr>
          <w:szCs w:val="20"/>
        </w:rPr>
        <w:t>brittle</w:t>
      </w:r>
      <w:r w:rsidRPr="009206BA">
        <w:rPr>
          <w:szCs w:val="20"/>
        </w:rPr>
        <w:t xml:space="preserve"> report assembly for both outbound report</w:t>
      </w:r>
      <w:r w:rsidR="004120ED">
        <w:rPr>
          <w:szCs w:val="20"/>
        </w:rPr>
        <w:t>s</w:t>
      </w:r>
      <w:r w:rsidRPr="009206BA">
        <w:rPr>
          <w:szCs w:val="20"/>
        </w:rPr>
        <w:t xml:space="preserve"> and internal </w:t>
      </w:r>
      <w:r w:rsidR="004120ED">
        <w:rPr>
          <w:szCs w:val="20"/>
        </w:rPr>
        <w:t>analyses</w:t>
      </w:r>
      <w:r w:rsidRPr="009206BA">
        <w:rPr>
          <w:szCs w:val="20"/>
        </w:rPr>
        <w:t>.</w:t>
      </w:r>
      <w:r>
        <w:rPr>
          <w:szCs w:val="20"/>
        </w:rPr>
        <w:t xml:space="preserve"> </w:t>
      </w:r>
      <w:r w:rsidR="00120C86" w:rsidRPr="00120C86">
        <w:rPr>
          <w:szCs w:val="20"/>
        </w:rPr>
        <w:t>Survey evidence documents 1-5 hours per ISM</w:t>
      </w:r>
      <w:r w:rsidR="00120C86">
        <w:rPr>
          <w:szCs w:val="20"/>
        </w:rPr>
        <w:t>/</w:t>
      </w:r>
      <w:r w:rsidR="00120C86" w:rsidRPr="00120C86">
        <w:rPr>
          <w:szCs w:val="20"/>
        </w:rPr>
        <w:t>week spent on manual data prep and error correction—capacity that will be redirected to</w:t>
      </w:r>
      <w:r w:rsidR="00120C86">
        <w:rPr>
          <w:szCs w:val="20"/>
        </w:rPr>
        <w:t xml:space="preserve"> planning, root-cause analysis, and</w:t>
      </w:r>
      <w:r w:rsidR="00120C86" w:rsidRPr="00120C86">
        <w:rPr>
          <w:szCs w:val="20"/>
        </w:rPr>
        <w:t xml:space="preserve"> strategic vendor engagement.</w:t>
      </w:r>
    </w:p>
    <w:p w14:paraId="78FFB870" w14:textId="508877DC" w:rsidR="009206BA" w:rsidRPr="009206BA" w:rsidRDefault="009206BA" w:rsidP="009206BA">
      <w:pPr>
        <w:spacing w:line="240" w:lineRule="auto"/>
        <w:rPr>
          <w:szCs w:val="20"/>
        </w:rPr>
      </w:pPr>
      <w:r w:rsidRPr="009206BA">
        <w:rPr>
          <w:szCs w:val="20"/>
        </w:rPr>
        <w:t>2. Vendor Enablement and Partnership Expansion</w:t>
      </w:r>
    </w:p>
    <w:p w14:paraId="441A4159" w14:textId="4FF0B9F8" w:rsidR="009206BA" w:rsidRPr="009206BA" w:rsidRDefault="009206BA" w:rsidP="009206BA">
      <w:pPr>
        <w:spacing w:line="240" w:lineRule="auto"/>
        <w:rPr>
          <w:szCs w:val="20"/>
        </w:rPr>
      </w:pPr>
      <w:r w:rsidRPr="009206BA">
        <w:rPr>
          <w:szCs w:val="20"/>
        </w:rPr>
        <w:t>Within CPH, vendors gain continuous, self-service access to accurate daily data filtered to their specific SKUs. They will also be able to update contact details and communication preferences directly—streamlining simple administrative tasks without changing oversight or control by ISMs or leadership.</w:t>
      </w:r>
      <w:r>
        <w:rPr>
          <w:szCs w:val="20"/>
        </w:rPr>
        <w:t xml:space="preserve"> </w:t>
      </w:r>
      <w:r w:rsidRPr="009206BA">
        <w:rPr>
          <w:szCs w:val="20"/>
        </w:rPr>
        <w:t>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18474D2" w14:textId="4C131C42" w:rsidR="009206BA" w:rsidRPr="009206BA" w:rsidRDefault="009206BA" w:rsidP="009206BA">
      <w:pPr>
        <w:spacing w:line="240" w:lineRule="auto"/>
        <w:rPr>
          <w:szCs w:val="20"/>
        </w:rPr>
      </w:pPr>
      <w:r w:rsidRPr="009206BA">
        <w:rPr>
          <w:szCs w:val="20"/>
        </w:rPr>
        <w:t>3. Enterprise Data Alignment and Future Readiness</w:t>
      </w:r>
    </w:p>
    <w:p w14:paraId="1D012DBB" w14:textId="3699C616" w:rsidR="009206BA" w:rsidRPr="009206BA" w:rsidRDefault="009206BA" w:rsidP="009206BA">
      <w:pPr>
        <w:spacing w:line="240" w:lineRule="auto"/>
        <w:rPr>
          <w:szCs w:val="20"/>
        </w:rPr>
      </w:pPr>
      <w:r w:rsidRPr="009206BA">
        <w:rPr>
          <w:szCs w:val="20"/>
        </w:rP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w:t>
      </w:r>
      <w:r w:rsidR="000D00FC">
        <w:rPr>
          <w:szCs w:val="20"/>
        </w:rPr>
        <w:t xml:space="preserve"> To support additions or updates to collaborative data, changes can be made at the single source, flowing immediately and uniformly to all users. </w:t>
      </w:r>
      <w:r w:rsidRPr="009206BA">
        <w:rPr>
          <w:szCs w:val="20"/>
        </w:rPr>
        <w:t>The structured design</w:t>
      </w:r>
      <w:r w:rsidR="000D00FC">
        <w:rPr>
          <w:szCs w:val="20"/>
        </w:rPr>
        <w:t xml:space="preserve"> also</w:t>
      </w:r>
      <w:r w:rsidRPr="009206BA">
        <w:rPr>
          <w:szCs w:val="20"/>
        </w:rPr>
        <w:t xml:space="preserve"> lays the groundwork </w:t>
      </w:r>
      <w:r w:rsidRPr="009206BA">
        <w:rPr>
          <w:szCs w:val="20"/>
        </w:rPr>
        <w:lastRenderedPageBreak/>
        <w:t>for advanced analytics, machine learning, and AI-driven automation, minimizing the preparation traditionally required. What began as operational reporting becomes a durable enterprise asset supporting Chewy’s digital evolution.</w:t>
      </w:r>
    </w:p>
    <w:p w14:paraId="3DDBDCCA" w14:textId="4E5F5E7E" w:rsidR="009206BA" w:rsidRPr="009206BA" w:rsidRDefault="009206BA" w:rsidP="009206BA">
      <w:pPr>
        <w:spacing w:line="240" w:lineRule="auto"/>
        <w:rPr>
          <w:szCs w:val="20"/>
        </w:rPr>
      </w:pPr>
      <w:r w:rsidRPr="009206BA">
        <w:rPr>
          <w:szCs w:val="20"/>
        </w:rPr>
        <w:t>4. Strategic Growth Enablement</w:t>
      </w:r>
    </w:p>
    <w:p w14:paraId="18CF104E" w14:textId="75E1E43B" w:rsidR="009206BA" w:rsidRPr="009206BA" w:rsidRDefault="009206BA" w:rsidP="009206BA">
      <w:pPr>
        <w:spacing w:line="240" w:lineRule="auto"/>
        <w:rPr>
          <w:szCs w:val="20"/>
        </w:rPr>
      </w:pPr>
      <w:r w:rsidRPr="009206BA">
        <w:rPr>
          <w:szCs w:val="20"/>
        </w:rP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w:t>
      </w:r>
      <w:r>
        <w:rPr>
          <w:szCs w:val="20"/>
        </w:rPr>
        <w:t xml:space="preserve"> </w:t>
      </w:r>
      <w:r w:rsidRPr="009206BA">
        <w:rPr>
          <w:szCs w:val="20"/>
        </w:rPr>
        <w:t xml:space="preserve">This shared platform reduces duplication, simplifies vendor engagement, and establishes a foundation for future cross-program dashboards and enterprise-wide visibility. </w:t>
      </w:r>
    </w:p>
    <w:p w14:paraId="033DD847" w14:textId="501EEA4B" w:rsidR="00EB609A" w:rsidRPr="009206BA" w:rsidRDefault="00EB609A" w:rsidP="009206BA">
      <w:pPr>
        <w:pStyle w:val="Heading1"/>
      </w:pPr>
      <w:r w:rsidRPr="009206BA">
        <w:t>Quantitative Snapshot</w:t>
      </w:r>
    </w:p>
    <w:tbl>
      <w:tblPr>
        <w:tblW w:w="0" w:type="auto"/>
        <w:tblCellSpacing w:w="15" w:type="dxa"/>
        <w:tblLayout w:type="fixed"/>
        <w:tblCellMar>
          <w:left w:w="29" w:type="dxa"/>
          <w:right w:w="15" w:type="dxa"/>
        </w:tblCellMar>
        <w:tblLook w:val="04A0" w:firstRow="1" w:lastRow="0" w:firstColumn="1" w:lastColumn="0" w:noHBand="0" w:noVBand="1"/>
      </w:tblPr>
      <w:tblGrid>
        <w:gridCol w:w="2690"/>
        <w:gridCol w:w="3380"/>
        <w:gridCol w:w="1846"/>
        <w:gridCol w:w="2884"/>
      </w:tblGrid>
      <w:tr w:rsidR="00EB609A" w:rsidRPr="00EB609A" w14:paraId="1157B756" w14:textId="77777777" w:rsidTr="00F3243C">
        <w:trPr>
          <w:tblHeader/>
          <w:tblCellSpacing w:w="15" w:type="dxa"/>
        </w:trPr>
        <w:tc>
          <w:tcPr>
            <w:tcW w:w="2645" w:type="dxa"/>
            <w:shd w:val="clear" w:color="auto" w:fill="4C94D8" w:themeFill="text2" w:themeFillTint="80"/>
            <w:vAlign w:val="center"/>
            <w:hideMark/>
          </w:tcPr>
          <w:p w14:paraId="769ECC6B"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Benefit Category</w:t>
            </w:r>
          </w:p>
        </w:tc>
        <w:tc>
          <w:tcPr>
            <w:tcW w:w="3350" w:type="dxa"/>
            <w:shd w:val="clear" w:color="auto" w:fill="4C94D8" w:themeFill="text2" w:themeFillTint="80"/>
            <w:vAlign w:val="center"/>
            <w:hideMark/>
          </w:tcPr>
          <w:p w14:paraId="451520A8"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Estimation Basis</w:t>
            </w:r>
          </w:p>
        </w:tc>
        <w:tc>
          <w:tcPr>
            <w:tcW w:w="1816" w:type="dxa"/>
            <w:shd w:val="clear" w:color="auto" w:fill="4C94D8" w:themeFill="text2" w:themeFillTint="80"/>
            <w:vAlign w:val="center"/>
            <w:hideMark/>
          </w:tcPr>
          <w:p w14:paraId="56929A48" w14:textId="74D76B91" w:rsidR="00EB609A" w:rsidRPr="00EB609A" w:rsidRDefault="00F3243C" w:rsidP="003C6BE6">
            <w:pPr>
              <w:spacing w:after="60"/>
              <w:rPr>
                <w:b/>
                <w:bCs/>
                <w:color w:val="FFFFFF" w:themeColor="background1"/>
                <w:szCs w:val="20"/>
              </w:rPr>
            </w:pPr>
            <w:r w:rsidRPr="00F3243C">
              <w:rPr>
                <w:b/>
                <w:bCs/>
                <w:color w:val="FFFFFF" w:themeColor="background1"/>
                <w:szCs w:val="20"/>
              </w:rPr>
              <w:t xml:space="preserve">Appx. </w:t>
            </w:r>
            <w:r w:rsidR="00EB609A" w:rsidRPr="00EB609A">
              <w:rPr>
                <w:b/>
                <w:bCs/>
                <w:color w:val="FFFFFF" w:themeColor="background1"/>
                <w:szCs w:val="20"/>
              </w:rPr>
              <w:t>1st-Yr Value</w:t>
            </w:r>
          </w:p>
        </w:tc>
        <w:tc>
          <w:tcPr>
            <w:tcW w:w="2839" w:type="dxa"/>
            <w:shd w:val="clear" w:color="auto" w:fill="4C94D8" w:themeFill="text2" w:themeFillTint="80"/>
            <w:vAlign w:val="center"/>
            <w:hideMark/>
          </w:tcPr>
          <w:p w14:paraId="5135A069" w14:textId="6F60E7BC" w:rsidR="00EB609A" w:rsidRPr="00EB609A" w:rsidRDefault="00EB609A" w:rsidP="003C6BE6">
            <w:pPr>
              <w:spacing w:after="60"/>
              <w:rPr>
                <w:b/>
                <w:bCs/>
                <w:color w:val="FFFFFF" w:themeColor="background1"/>
                <w:szCs w:val="20"/>
              </w:rPr>
            </w:pPr>
            <w:r w:rsidRPr="00EB609A">
              <w:rPr>
                <w:b/>
                <w:bCs/>
                <w:color w:val="FFFFFF" w:themeColor="background1"/>
                <w:szCs w:val="20"/>
              </w:rPr>
              <w:t>Key Assumption</w:t>
            </w:r>
            <w:r w:rsidR="00F3243C">
              <w:rPr>
                <w:b/>
                <w:bCs/>
                <w:color w:val="FFFFFF" w:themeColor="background1"/>
                <w:szCs w:val="20"/>
              </w:rPr>
              <w:t>(s)</w:t>
            </w:r>
          </w:p>
        </w:tc>
      </w:tr>
      <w:tr w:rsidR="00EB609A" w:rsidRPr="00EB609A" w14:paraId="07F39D83" w14:textId="77777777" w:rsidTr="00F755E2">
        <w:trPr>
          <w:tblCellSpacing w:w="15" w:type="dxa"/>
        </w:trPr>
        <w:tc>
          <w:tcPr>
            <w:tcW w:w="2645" w:type="dxa"/>
            <w:tcBorders>
              <w:bottom w:val="dotted" w:sz="4" w:space="0" w:color="0070C0"/>
            </w:tcBorders>
            <w:hideMark/>
          </w:tcPr>
          <w:p w14:paraId="6D2113E3" w14:textId="77777777" w:rsidR="00EB609A" w:rsidRPr="00EB609A" w:rsidRDefault="00EB609A" w:rsidP="003C6BE6">
            <w:pPr>
              <w:spacing w:after="0"/>
              <w:rPr>
                <w:szCs w:val="20"/>
              </w:rPr>
            </w:pPr>
            <w:r w:rsidRPr="00EB609A">
              <w:rPr>
                <w:szCs w:val="20"/>
              </w:rPr>
              <w:t>Operational Cohesion &amp; Efficiency</w:t>
            </w:r>
          </w:p>
        </w:tc>
        <w:tc>
          <w:tcPr>
            <w:tcW w:w="3350" w:type="dxa"/>
            <w:tcBorders>
              <w:bottom w:val="dotted" w:sz="4" w:space="0" w:color="0070C0"/>
            </w:tcBorders>
            <w:hideMark/>
          </w:tcPr>
          <w:p w14:paraId="2904EDC4" w14:textId="67EA209E" w:rsidR="00EB609A" w:rsidRPr="00EB609A" w:rsidRDefault="004120ED" w:rsidP="003C6BE6">
            <w:pPr>
              <w:spacing w:after="0"/>
              <w:rPr>
                <w:szCs w:val="20"/>
              </w:rPr>
            </w:pPr>
            <w:r>
              <w:rPr>
                <w:szCs w:val="20"/>
              </w:rPr>
              <w:t>36</w:t>
            </w:r>
            <w:r w:rsidR="00EB609A" w:rsidRPr="00EB609A">
              <w:rPr>
                <w:szCs w:val="20"/>
              </w:rPr>
              <w:t xml:space="preserve"> team members × </w:t>
            </w:r>
            <w:r>
              <w:rPr>
                <w:szCs w:val="20"/>
              </w:rPr>
              <w:t>2</w:t>
            </w:r>
            <w:r w:rsidR="00EB609A" w:rsidRPr="00EB609A">
              <w:rPr>
                <w:szCs w:val="20"/>
              </w:rPr>
              <w:t xml:space="preserve"> </w:t>
            </w:r>
            <w:r w:rsidR="00AF2B5A">
              <w:rPr>
                <w:szCs w:val="20"/>
              </w:rPr>
              <w:t xml:space="preserve">avg </w:t>
            </w:r>
            <w:r w:rsidR="00EB609A" w:rsidRPr="00EB609A">
              <w:rPr>
                <w:szCs w:val="20"/>
              </w:rPr>
              <w:t>h</w:t>
            </w:r>
            <w:r w:rsidR="00FB2CDB">
              <w:rPr>
                <w:szCs w:val="20"/>
              </w:rPr>
              <w:t>ou</w:t>
            </w:r>
            <w:r w:rsidR="00EB609A" w:rsidRPr="00EB609A">
              <w:rPr>
                <w:szCs w:val="20"/>
              </w:rPr>
              <w:t>rs/week reallocated to higher-value work</w:t>
            </w:r>
          </w:p>
        </w:tc>
        <w:tc>
          <w:tcPr>
            <w:tcW w:w="1816" w:type="dxa"/>
            <w:tcBorders>
              <w:bottom w:val="dotted" w:sz="4" w:space="0" w:color="0070C0"/>
            </w:tcBorders>
            <w:hideMark/>
          </w:tcPr>
          <w:p w14:paraId="3D224D3F" w14:textId="1352BE0D" w:rsidR="00EB609A" w:rsidRPr="00EB609A" w:rsidRDefault="00EB609A" w:rsidP="003C6BE6">
            <w:pPr>
              <w:spacing w:after="0"/>
              <w:rPr>
                <w:szCs w:val="20"/>
              </w:rPr>
            </w:pPr>
            <w:r w:rsidRPr="00EB609A">
              <w:rPr>
                <w:b/>
                <w:bCs/>
                <w:szCs w:val="20"/>
              </w:rPr>
              <w:t>$ 6</w:t>
            </w:r>
            <w:r w:rsidR="0017095A">
              <w:rPr>
                <w:b/>
                <w:bCs/>
                <w:szCs w:val="20"/>
              </w:rPr>
              <w:t>08</w:t>
            </w:r>
            <w:r w:rsidRPr="00EB609A">
              <w:rPr>
                <w:b/>
                <w:bCs/>
                <w:szCs w:val="20"/>
              </w:rPr>
              <w:t xml:space="preserve"> k</w:t>
            </w:r>
          </w:p>
        </w:tc>
        <w:tc>
          <w:tcPr>
            <w:tcW w:w="2839" w:type="dxa"/>
            <w:tcBorders>
              <w:bottom w:val="dotted" w:sz="4" w:space="0" w:color="0070C0"/>
            </w:tcBorders>
            <w:hideMark/>
          </w:tcPr>
          <w:p w14:paraId="67FA49F1" w14:textId="77777777" w:rsidR="00EB609A" w:rsidRPr="00EB609A" w:rsidRDefault="00EB609A" w:rsidP="003C6BE6">
            <w:pPr>
              <w:spacing w:after="0"/>
              <w:rPr>
                <w:szCs w:val="20"/>
              </w:rPr>
            </w:pPr>
            <w:r w:rsidRPr="00EB609A">
              <w:rPr>
                <w:szCs w:val="20"/>
              </w:rPr>
              <w:t>Capacity redirected from manual prep to analysis</w:t>
            </w:r>
          </w:p>
        </w:tc>
      </w:tr>
      <w:tr w:rsidR="00EB609A" w:rsidRPr="00EB609A" w14:paraId="79ACD1F8" w14:textId="77777777" w:rsidTr="00F755E2">
        <w:trPr>
          <w:tblCellSpacing w:w="15" w:type="dxa"/>
        </w:trPr>
        <w:tc>
          <w:tcPr>
            <w:tcW w:w="2645" w:type="dxa"/>
            <w:tcBorders>
              <w:top w:val="dotted" w:sz="4" w:space="0" w:color="0070C0"/>
              <w:bottom w:val="dotted" w:sz="4" w:space="0" w:color="0070C0"/>
            </w:tcBorders>
            <w:hideMark/>
          </w:tcPr>
          <w:p w14:paraId="27EE60D7" w14:textId="77777777" w:rsidR="00EB609A" w:rsidRPr="00EB609A" w:rsidRDefault="00EB609A" w:rsidP="003C6BE6">
            <w:pPr>
              <w:spacing w:after="0"/>
              <w:rPr>
                <w:szCs w:val="20"/>
              </w:rPr>
            </w:pPr>
            <w:r w:rsidRPr="00EB609A">
              <w:rPr>
                <w:szCs w:val="20"/>
              </w:rPr>
              <w:t>Vendor Enablement &amp; Partnership Expansion</w:t>
            </w:r>
          </w:p>
        </w:tc>
        <w:tc>
          <w:tcPr>
            <w:tcW w:w="3350" w:type="dxa"/>
            <w:tcBorders>
              <w:top w:val="dotted" w:sz="4" w:space="0" w:color="0070C0"/>
              <w:bottom w:val="dotted" w:sz="4" w:space="0" w:color="0070C0"/>
            </w:tcBorders>
            <w:hideMark/>
          </w:tcPr>
          <w:p w14:paraId="7F05DF0F" w14:textId="7D26B689" w:rsidR="00EB609A" w:rsidRPr="00EB609A" w:rsidRDefault="00AF2B5A" w:rsidP="003C6BE6">
            <w:pPr>
              <w:spacing w:after="0"/>
              <w:rPr>
                <w:szCs w:val="20"/>
              </w:rPr>
            </w:pPr>
            <w:r>
              <w:rPr>
                <w:szCs w:val="20"/>
              </w:rPr>
              <w:t xml:space="preserve">Faster, more frequent and more actionable vendor contribution </w:t>
            </w:r>
          </w:p>
        </w:tc>
        <w:tc>
          <w:tcPr>
            <w:tcW w:w="1816" w:type="dxa"/>
            <w:tcBorders>
              <w:top w:val="dotted" w:sz="4" w:space="0" w:color="0070C0"/>
              <w:bottom w:val="dotted" w:sz="4" w:space="0" w:color="0070C0"/>
            </w:tcBorders>
            <w:hideMark/>
          </w:tcPr>
          <w:p w14:paraId="1F4B432E" w14:textId="40BD3552" w:rsidR="00EB609A" w:rsidRPr="00EB609A" w:rsidRDefault="00EB609A" w:rsidP="003C6BE6">
            <w:pPr>
              <w:spacing w:after="0"/>
              <w:rPr>
                <w:szCs w:val="20"/>
              </w:rPr>
            </w:pPr>
            <w:r w:rsidRPr="00EB609A">
              <w:rPr>
                <w:b/>
                <w:bCs/>
                <w:szCs w:val="20"/>
              </w:rPr>
              <w:t xml:space="preserve">$ </w:t>
            </w:r>
            <w:r w:rsidR="00AF2B5A">
              <w:rPr>
                <w:b/>
                <w:bCs/>
                <w:szCs w:val="20"/>
              </w:rPr>
              <w:t>458</w:t>
            </w:r>
            <w:r w:rsidRPr="00EB609A">
              <w:rPr>
                <w:b/>
                <w:bCs/>
                <w:szCs w:val="20"/>
              </w:rPr>
              <w:t xml:space="preserve"> k</w:t>
            </w:r>
          </w:p>
        </w:tc>
        <w:tc>
          <w:tcPr>
            <w:tcW w:w="2839" w:type="dxa"/>
            <w:tcBorders>
              <w:top w:val="dotted" w:sz="4" w:space="0" w:color="0070C0"/>
              <w:bottom w:val="dotted" w:sz="4" w:space="0" w:color="0070C0"/>
            </w:tcBorders>
            <w:hideMark/>
          </w:tcPr>
          <w:p w14:paraId="255CF196" w14:textId="77777777" w:rsidR="00EB609A" w:rsidRPr="00EB609A" w:rsidRDefault="00EB609A" w:rsidP="003C6BE6">
            <w:pPr>
              <w:spacing w:after="0"/>
              <w:rPr>
                <w:szCs w:val="20"/>
              </w:rPr>
            </w:pPr>
            <w:r w:rsidRPr="00EB609A">
              <w:rPr>
                <w:szCs w:val="20"/>
              </w:rPr>
              <w:t>Faster vendor decisions, reduced friction</w:t>
            </w:r>
          </w:p>
        </w:tc>
      </w:tr>
      <w:tr w:rsidR="00EB609A" w:rsidRPr="00EB609A" w14:paraId="2C5B02D7" w14:textId="77777777" w:rsidTr="00F755E2">
        <w:trPr>
          <w:tblCellSpacing w:w="15" w:type="dxa"/>
        </w:trPr>
        <w:tc>
          <w:tcPr>
            <w:tcW w:w="2645" w:type="dxa"/>
            <w:tcBorders>
              <w:top w:val="dotted" w:sz="4" w:space="0" w:color="0070C0"/>
              <w:bottom w:val="dotted" w:sz="4" w:space="0" w:color="0070C0"/>
            </w:tcBorders>
            <w:hideMark/>
          </w:tcPr>
          <w:p w14:paraId="7600060F" w14:textId="77777777" w:rsidR="00EB609A" w:rsidRPr="00EB609A" w:rsidRDefault="00EB609A" w:rsidP="003C6BE6">
            <w:pPr>
              <w:spacing w:after="0"/>
              <w:rPr>
                <w:szCs w:val="20"/>
              </w:rPr>
            </w:pPr>
            <w:r w:rsidRPr="00EB609A">
              <w:rPr>
                <w:szCs w:val="20"/>
              </w:rPr>
              <w:t>Enterprise Data Alignment &amp; Future Readiness</w:t>
            </w:r>
          </w:p>
        </w:tc>
        <w:tc>
          <w:tcPr>
            <w:tcW w:w="3350" w:type="dxa"/>
            <w:tcBorders>
              <w:top w:val="dotted" w:sz="4" w:space="0" w:color="0070C0"/>
              <w:bottom w:val="dotted" w:sz="4" w:space="0" w:color="0070C0"/>
            </w:tcBorders>
            <w:hideMark/>
          </w:tcPr>
          <w:p w14:paraId="79F56E19" w14:textId="4A2D8E98" w:rsidR="00EB609A" w:rsidRPr="00EB609A" w:rsidRDefault="00EB609A" w:rsidP="003C6BE6">
            <w:pPr>
              <w:spacing w:after="0"/>
              <w:rPr>
                <w:szCs w:val="20"/>
              </w:rPr>
            </w:pPr>
            <w:r w:rsidRPr="00EB609A">
              <w:rPr>
                <w:szCs w:val="20"/>
              </w:rPr>
              <w:t>Fewer data inconsistencies</w:t>
            </w:r>
            <w:r w:rsidR="00EA24EF">
              <w:rPr>
                <w:szCs w:val="20"/>
              </w:rPr>
              <w:t xml:space="preserve">, </w:t>
            </w:r>
            <w:r w:rsidRPr="00EB609A">
              <w:rPr>
                <w:szCs w:val="20"/>
              </w:rPr>
              <w:t>rework</w:t>
            </w:r>
            <w:r w:rsidR="00EA24EF">
              <w:rPr>
                <w:szCs w:val="20"/>
              </w:rPr>
              <w:t>, or avoidable costs</w:t>
            </w:r>
          </w:p>
        </w:tc>
        <w:tc>
          <w:tcPr>
            <w:tcW w:w="1816" w:type="dxa"/>
            <w:tcBorders>
              <w:top w:val="dotted" w:sz="4" w:space="0" w:color="0070C0"/>
              <w:bottom w:val="dotted" w:sz="4" w:space="0" w:color="0070C0"/>
            </w:tcBorders>
            <w:hideMark/>
          </w:tcPr>
          <w:p w14:paraId="578DB0A3" w14:textId="16FD549A" w:rsidR="00EB609A" w:rsidRPr="00EB609A" w:rsidRDefault="00EB609A" w:rsidP="003C6BE6">
            <w:pPr>
              <w:spacing w:after="0"/>
              <w:rPr>
                <w:szCs w:val="20"/>
              </w:rPr>
            </w:pPr>
            <w:r w:rsidRPr="00EB609A">
              <w:rPr>
                <w:b/>
                <w:bCs/>
                <w:szCs w:val="20"/>
              </w:rPr>
              <w:t xml:space="preserve">$ </w:t>
            </w:r>
            <w:r w:rsidR="00B426F4">
              <w:rPr>
                <w:b/>
                <w:bCs/>
                <w:szCs w:val="20"/>
              </w:rPr>
              <w:t>339</w:t>
            </w:r>
            <w:r w:rsidRPr="00EB609A">
              <w:rPr>
                <w:b/>
                <w:bCs/>
                <w:szCs w:val="20"/>
              </w:rPr>
              <w:t xml:space="preserve"> k</w:t>
            </w:r>
          </w:p>
        </w:tc>
        <w:tc>
          <w:tcPr>
            <w:tcW w:w="2839" w:type="dxa"/>
            <w:tcBorders>
              <w:top w:val="dotted" w:sz="4" w:space="0" w:color="0070C0"/>
              <w:bottom w:val="dotted" w:sz="4" w:space="0" w:color="0070C0"/>
            </w:tcBorders>
            <w:hideMark/>
          </w:tcPr>
          <w:p w14:paraId="71BE4B48" w14:textId="77777777" w:rsidR="00EB609A" w:rsidRPr="00EB609A" w:rsidRDefault="00EB609A" w:rsidP="003C6BE6">
            <w:pPr>
              <w:spacing w:after="0"/>
              <w:rPr>
                <w:szCs w:val="20"/>
              </w:rPr>
            </w:pPr>
            <w:r w:rsidRPr="00EB609A">
              <w:rPr>
                <w:szCs w:val="20"/>
              </w:rPr>
              <w:t>Improved accuracy across teams</w:t>
            </w:r>
          </w:p>
        </w:tc>
      </w:tr>
      <w:tr w:rsidR="00F755E2" w:rsidRPr="00EB609A" w14:paraId="664A7250" w14:textId="77777777" w:rsidTr="00F755E2">
        <w:trPr>
          <w:tblCellSpacing w:w="15" w:type="dxa"/>
        </w:trPr>
        <w:tc>
          <w:tcPr>
            <w:tcW w:w="2645" w:type="dxa"/>
            <w:tcBorders>
              <w:top w:val="dotted" w:sz="4" w:space="0" w:color="0070C0"/>
            </w:tcBorders>
            <w:hideMark/>
          </w:tcPr>
          <w:p w14:paraId="3A88CB59"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Strategic Growth Enablement</w:t>
            </w:r>
          </w:p>
        </w:tc>
        <w:tc>
          <w:tcPr>
            <w:tcW w:w="3350" w:type="dxa"/>
            <w:tcBorders>
              <w:top w:val="dotted" w:sz="4" w:space="0" w:color="0070C0"/>
            </w:tcBorders>
            <w:hideMark/>
          </w:tcPr>
          <w:p w14:paraId="2CEDD59F"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Synergy benefits and shared infrastructure reuse</w:t>
            </w:r>
          </w:p>
        </w:tc>
        <w:tc>
          <w:tcPr>
            <w:tcW w:w="1816" w:type="dxa"/>
            <w:tcBorders>
              <w:top w:val="dotted" w:sz="4" w:space="0" w:color="0070C0"/>
              <w:bottom w:val="double" w:sz="4" w:space="0" w:color="0070C0"/>
            </w:tcBorders>
            <w:hideMark/>
          </w:tcPr>
          <w:p w14:paraId="3B2908C2" w14:textId="11A1EC14" w:rsidR="00EB609A" w:rsidRPr="002565C9" w:rsidRDefault="00EB609A" w:rsidP="003C6BE6">
            <w:pPr>
              <w:spacing w:after="0"/>
              <w:rPr>
                <w:b/>
                <w:bCs/>
                <w:i/>
                <w:iCs/>
                <w:color w:val="7F7F7F" w:themeColor="text1" w:themeTint="80"/>
                <w:szCs w:val="20"/>
              </w:rPr>
            </w:pPr>
            <w:r w:rsidRPr="002565C9">
              <w:rPr>
                <w:b/>
                <w:bCs/>
                <w:i/>
                <w:iCs/>
                <w:color w:val="7F7F7F" w:themeColor="text1" w:themeTint="80"/>
                <w:szCs w:val="20"/>
              </w:rPr>
              <w:t>$ 6</w:t>
            </w:r>
            <w:r w:rsidR="00413C4B" w:rsidRPr="002565C9">
              <w:rPr>
                <w:b/>
                <w:bCs/>
                <w:i/>
                <w:iCs/>
                <w:color w:val="7F7F7F" w:themeColor="text1" w:themeTint="80"/>
                <w:szCs w:val="20"/>
              </w:rPr>
              <w:t>2</w:t>
            </w:r>
            <w:r w:rsidRPr="002565C9">
              <w:rPr>
                <w:b/>
                <w:bCs/>
                <w:i/>
                <w:iCs/>
                <w:color w:val="7F7F7F" w:themeColor="text1" w:themeTint="80"/>
                <w:szCs w:val="20"/>
              </w:rPr>
              <w:t>5 k</w:t>
            </w:r>
            <w:r w:rsidR="002565C9">
              <w:rPr>
                <w:b/>
                <w:bCs/>
                <w:i/>
                <w:iCs/>
                <w:color w:val="7F7F7F" w:themeColor="text1" w:themeTint="80"/>
                <w:szCs w:val="20"/>
              </w:rPr>
              <w:t>*</w:t>
            </w:r>
          </w:p>
        </w:tc>
        <w:tc>
          <w:tcPr>
            <w:tcW w:w="2839" w:type="dxa"/>
            <w:tcBorders>
              <w:top w:val="dotted" w:sz="4" w:space="0" w:color="0070C0"/>
              <w:bottom w:val="double" w:sz="4" w:space="0" w:color="0070C0"/>
            </w:tcBorders>
            <w:hideMark/>
          </w:tcPr>
          <w:p w14:paraId="3041C5B5"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Multi-program applicability</w:t>
            </w:r>
          </w:p>
        </w:tc>
      </w:tr>
      <w:tr w:rsidR="00EB609A" w:rsidRPr="00EB609A" w14:paraId="78093609" w14:textId="77777777" w:rsidTr="00F3243C">
        <w:trPr>
          <w:trHeight w:val="288"/>
          <w:tblCellSpacing w:w="15" w:type="dxa"/>
        </w:trPr>
        <w:tc>
          <w:tcPr>
            <w:tcW w:w="2645" w:type="dxa"/>
            <w:vAlign w:val="center"/>
            <w:hideMark/>
          </w:tcPr>
          <w:p w14:paraId="511064CB" w14:textId="0529FE10" w:rsidR="00EB609A" w:rsidRPr="00EB609A" w:rsidRDefault="00EB609A" w:rsidP="003C6BE6">
            <w:pPr>
              <w:spacing w:after="0"/>
              <w:rPr>
                <w:szCs w:val="20"/>
              </w:rPr>
            </w:pPr>
          </w:p>
        </w:tc>
        <w:tc>
          <w:tcPr>
            <w:tcW w:w="3350" w:type="dxa"/>
            <w:vAlign w:val="center"/>
            <w:hideMark/>
          </w:tcPr>
          <w:p w14:paraId="7CF791A4" w14:textId="603166F5" w:rsidR="00EB609A" w:rsidRPr="00EB609A" w:rsidRDefault="00F755E2" w:rsidP="003C6BE6">
            <w:pPr>
              <w:spacing w:after="60"/>
              <w:rPr>
                <w:i/>
                <w:iCs/>
                <w:szCs w:val="20"/>
              </w:rPr>
            </w:pPr>
            <w:r w:rsidRPr="00EB609A">
              <w:rPr>
                <w:b/>
                <w:bCs/>
                <w:i/>
                <w:iCs/>
                <w:szCs w:val="20"/>
              </w:rPr>
              <w:t>Total Conservative Estimate</w:t>
            </w:r>
          </w:p>
        </w:tc>
        <w:tc>
          <w:tcPr>
            <w:tcW w:w="1816" w:type="dxa"/>
            <w:vAlign w:val="center"/>
            <w:hideMark/>
          </w:tcPr>
          <w:p w14:paraId="409B2EDF" w14:textId="49C2F2D0" w:rsidR="00EB609A" w:rsidRPr="00EB609A" w:rsidRDefault="00EB609A" w:rsidP="003C6BE6">
            <w:pPr>
              <w:spacing w:after="0"/>
              <w:rPr>
                <w:i/>
                <w:iCs/>
                <w:szCs w:val="20"/>
              </w:rPr>
            </w:pPr>
            <w:r w:rsidRPr="00EB609A">
              <w:rPr>
                <w:b/>
                <w:bCs/>
                <w:i/>
                <w:iCs/>
                <w:szCs w:val="20"/>
              </w:rPr>
              <w:t xml:space="preserve">≈ $ </w:t>
            </w:r>
            <w:r w:rsidR="002565C9">
              <w:rPr>
                <w:b/>
                <w:bCs/>
                <w:i/>
                <w:iCs/>
                <w:szCs w:val="20"/>
              </w:rPr>
              <w:t>1.</w:t>
            </w:r>
            <w:r w:rsidR="00AF2B5A">
              <w:rPr>
                <w:b/>
                <w:bCs/>
                <w:i/>
                <w:iCs/>
                <w:szCs w:val="20"/>
              </w:rPr>
              <w:t>4</w:t>
            </w:r>
            <w:r w:rsidRPr="00EB609A">
              <w:rPr>
                <w:b/>
                <w:bCs/>
                <w:i/>
                <w:iCs/>
                <w:szCs w:val="20"/>
              </w:rPr>
              <w:t xml:space="preserve"> M per year</w:t>
            </w:r>
          </w:p>
        </w:tc>
        <w:tc>
          <w:tcPr>
            <w:tcW w:w="2839" w:type="dxa"/>
            <w:vAlign w:val="center"/>
            <w:hideMark/>
          </w:tcPr>
          <w:p w14:paraId="1C62093D" w14:textId="09929F89" w:rsidR="00EB609A" w:rsidRPr="00EB609A" w:rsidRDefault="00EB609A" w:rsidP="003C6BE6">
            <w:pPr>
              <w:spacing w:after="0"/>
              <w:rPr>
                <w:i/>
                <w:iCs/>
                <w:szCs w:val="20"/>
              </w:rPr>
            </w:pPr>
            <w:r w:rsidRPr="00EB609A">
              <w:rPr>
                <w:i/>
                <w:iCs/>
                <w:szCs w:val="20"/>
              </w:rPr>
              <w:t>Recurring post-stabilization</w:t>
            </w:r>
          </w:p>
        </w:tc>
      </w:tr>
    </w:tbl>
    <w:p w14:paraId="62FB98DD" w14:textId="165ABE5F" w:rsidR="00EB609A" w:rsidRPr="002565C9" w:rsidRDefault="002565C9" w:rsidP="003C6BE6">
      <w:pPr>
        <w:spacing w:after="360"/>
        <w:jc w:val="right"/>
        <w:rPr>
          <w:i/>
          <w:iCs/>
          <w:sz w:val="18"/>
          <w:szCs w:val="18"/>
        </w:rPr>
      </w:pPr>
      <w:r w:rsidRPr="002565C9">
        <w:rPr>
          <w:sz w:val="18"/>
          <w:szCs w:val="18"/>
        </w:rPr>
        <w:tab/>
      </w:r>
      <w:r w:rsidRPr="002565C9">
        <w:rPr>
          <w:i/>
          <w:iCs/>
          <w:color w:val="7F7F7F" w:themeColor="text1" w:themeTint="80"/>
          <w:sz w:val="18"/>
          <w:szCs w:val="18"/>
        </w:rPr>
        <w:t xml:space="preserve">* </w:t>
      </w:r>
      <w:r w:rsidR="001F6A50">
        <w:rPr>
          <w:i/>
          <w:iCs/>
          <w:color w:val="7F7F7F" w:themeColor="text1" w:themeTint="80"/>
          <w:sz w:val="18"/>
          <w:szCs w:val="18"/>
        </w:rPr>
        <w:t>N</w:t>
      </w:r>
      <w:r w:rsidRPr="002565C9">
        <w:rPr>
          <w:i/>
          <w:iCs/>
          <w:color w:val="7F7F7F" w:themeColor="text1" w:themeTint="80"/>
          <w:sz w:val="18"/>
          <w:szCs w:val="18"/>
        </w:rPr>
        <w:t>ot included in current entitlement clai</w:t>
      </w:r>
      <w:r w:rsidR="001F6A50">
        <w:rPr>
          <w:i/>
          <w:iCs/>
          <w:color w:val="7F7F7F" w:themeColor="text1" w:themeTint="80"/>
          <w:sz w:val="18"/>
          <w:szCs w:val="18"/>
        </w:rPr>
        <w:t>m. T</w:t>
      </w:r>
      <w:r>
        <w:rPr>
          <w:i/>
          <w:iCs/>
          <w:color w:val="7F7F7F" w:themeColor="text1" w:themeTint="80"/>
          <w:sz w:val="18"/>
          <w:szCs w:val="18"/>
        </w:rPr>
        <w:t xml:space="preserve">his </w:t>
      </w:r>
      <w:r w:rsidR="001F6A50">
        <w:rPr>
          <w:i/>
          <w:iCs/>
          <w:color w:val="7F7F7F" w:themeColor="text1" w:themeTint="80"/>
          <w:sz w:val="18"/>
          <w:szCs w:val="18"/>
        </w:rPr>
        <w:t>represents value of road-mapped future phases of expansion</w:t>
      </w:r>
    </w:p>
    <w:p w14:paraId="69243764" w14:textId="77777777" w:rsidR="00EB609A" w:rsidRPr="00EB609A" w:rsidRDefault="00EB609A" w:rsidP="003C6BE6">
      <w:pPr>
        <w:pStyle w:val="Heading1"/>
      </w:pPr>
      <w:r w:rsidRPr="00EB609A">
        <w:t>Dependencies,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7312"/>
      </w:tblGrid>
      <w:tr w:rsidR="00EB609A" w:rsidRPr="00EB609A" w14:paraId="13C58FE6" w14:textId="77777777" w:rsidTr="005372A4">
        <w:trPr>
          <w:tblHeader/>
          <w:tblCellSpacing w:w="15" w:type="dxa"/>
        </w:trPr>
        <w:tc>
          <w:tcPr>
            <w:tcW w:w="3015" w:type="dxa"/>
            <w:shd w:val="clear" w:color="auto" w:fill="4C94D8" w:themeFill="text2" w:themeFillTint="80"/>
            <w:vAlign w:val="center"/>
            <w:hideMark/>
          </w:tcPr>
          <w:p w14:paraId="2D6DE0C1"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Risk / Dependency</w:t>
            </w:r>
          </w:p>
        </w:tc>
        <w:tc>
          <w:tcPr>
            <w:tcW w:w="7267" w:type="dxa"/>
            <w:shd w:val="clear" w:color="auto" w:fill="4C94D8" w:themeFill="text2" w:themeFillTint="80"/>
            <w:vAlign w:val="center"/>
            <w:hideMark/>
          </w:tcPr>
          <w:p w14:paraId="6B541564"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Mitigation</w:t>
            </w:r>
          </w:p>
        </w:tc>
      </w:tr>
      <w:tr w:rsidR="00EB609A" w:rsidRPr="00EB609A" w14:paraId="6938F43E" w14:textId="77777777" w:rsidTr="005372A4">
        <w:trPr>
          <w:tblCellSpacing w:w="15" w:type="dxa"/>
        </w:trPr>
        <w:tc>
          <w:tcPr>
            <w:tcW w:w="3015" w:type="dxa"/>
            <w:tcBorders>
              <w:bottom w:val="dotted" w:sz="4" w:space="0" w:color="0070C0"/>
            </w:tcBorders>
            <w:vAlign w:val="center"/>
            <w:hideMark/>
          </w:tcPr>
          <w:p w14:paraId="1D2E13B1" w14:textId="77777777" w:rsidR="00EB609A" w:rsidRPr="00EB609A" w:rsidRDefault="00EB609A" w:rsidP="003C6BE6">
            <w:pPr>
              <w:spacing w:after="0"/>
              <w:rPr>
                <w:szCs w:val="20"/>
              </w:rPr>
            </w:pPr>
            <w:r w:rsidRPr="00EB609A">
              <w:rPr>
                <w:szCs w:val="20"/>
              </w:rPr>
              <w:t>Data consistency across systems</w:t>
            </w:r>
          </w:p>
        </w:tc>
        <w:tc>
          <w:tcPr>
            <w:tcW w:w="7267" w:type="dxa"/>
            <w:tcBorders>
              <w:bottom w:val="dotted" w:sz="4" w:space="0" w:color="0070C0"/>
            </w:tcBorders>
            <w:vAlign w:val="center"/>
            <w:hideMark/>
          </w:tcPr>
          <w:p w14:paraId="0BB63C6E" w14:textId="77777777" w:rsidR="00EB609A" w:rsidRPr="00EB609A" w:rsidRDefault="00EB609A" w:rsidP="003C6BE6">
            <w:pPr>
              <w:spacing w:after="0"/>
              <w:rPr>
                <w:szCs w:val="20"/>
              </w:rPr>
            </w:pPr>
            <w:r w:rsidRPr="00EB609A">
              <w:rPr>
                <w:szCs w:val="20"/>
              </w:rPr>
              <w:t>Centralized governance and shared change-management process</w:t>
            </w:r>
          </w:p>
        </w:tc>
      </w:tr>
      <w:tr w:rsidR="00EB609A" w:rsidRPr="00EB609A" w14:paraId="296B9153" w14:textId="77777777" w:rsidTr="005372A4">
        <w:trPr>
          <w:tblCellSpacing w:w="15" w:type="dxa"/>
        </w:trPr>
        <w:tc>
          <w:tcPr>
            <w:tcW w:w="3015" w:type="dxa"/>
            <w:tcBorders>
              <w:top w:val="dotted" w:sz="4" w:space="0" w:color="0070C0"/>
              <w:bottom w:val="dotted" w:sz="4" w:space="0" w:color="0070C0"/>
            </w:tcBorders>
            <w:vAlign w:val="center"/>
            <w:hideMark/>
          </w:tcPr>
          <w:p w14:paraId="48FED5C6" w14:textId="77777777" w:rsidR="00EB609A" w:rsidRPr="00EB609A" w:rsidRDefault="00EB609A" w:rsidP="003C6BE6">
            <w:pPr>
              <w:spacing w:after="0"/>
              <w:rPr>
                <w:szCs w:val="20"/>
              </w:rPr>
            </w:pPr>
            <w:r w:rsidRPr="00EB609A">
              <w:rPr>
                <w:szCs w:val="20"/>
              </w:rPr>
              <w:t>Vendor adoption of portal</w:t>
            </w:r>
          </w:p>
        </w:tc>
        <w:tc>
          <w:tcPr>
            <w:tcW w:w="7267" w:type="dxa"/>
            <w:tcBorders>
              <w:top w:val="dotted" w:sz="4" w:space="0" w:color="0070C0"/>
              <w:bottom w:val="dotted" w:sz="4" w:space="0" w:color="0070C0"/>
            </w:tcBorders>
            <w:vAlign w:val="center"/>
            <w:hideMark/>
          </w:tcPr>
          <w:p w14:paraId="735BF24E" w14:textId="77777777" w:rsidR="00EB609A" w:rsidRPr="00EB609A" w:rsidRDefault="00EB609A" w:rsidP="003C6BE6">
            <w:pPr>
              <w:spacing w:after="0"/>
              <w:rPr>
                <w:szCs w:val="20"/>
              </w:rPr>
            </w:pPr>
            <w:r w:rsidRPr="00EB609A">
              <w:rPr>
                <w:szCs w:val="20"/>
              </w:rPr>
              <w:t>Co-branded rollout with VC and Replen Tech; vendor education and support</w:t>
            </w:r>
          </w:p>
        </w:tc>
      </w:tr>
      <w:tr w:rsidR="00EB609A" w:rsidRPr="00EB609A" w14:paraId="7816875A" w14:textId="77777777" w:rsidTr="005372A4">
        <w:trPr>
          <w:tblCellSpacing w:w="15" w:type="dxa"/>
        </w:trPr>
        <w:tc>
          <w:tcPr>
            <w:tcW w:w="3015" w:type="dxa"/>
            <w:tcBorders>
              <w:top w:val="dotted" w:sz="4" w:space="0" w:color="0070C0"/>
              <w:bottom w:val="dotted" w:sz="4" w:space="0" w:color="0070C0"/>
            </w:tcBorders>
            <w:vAlign w:val="center"/>
            <w:hideMark/>
          </w:tcPr>
          <w:p w14:paraId="1EB2E1B7" w14:textId="77777777" w:rsidR="00EB609A" w:rsidRPr="00EB609A" w:rsidRDefault="00EB609A" w:rsidP="003C6BE6">
            <w:pPr>
              <w:spacing w:after="0"/>
              <w:rPr>
                <w:szCs w:val="20"/>
              </w:rPr>
            </w:pPr>
            <w:r w:rsidRPr="00EB609A">
              <w:rPr>
                <w:szCs w:val="20"/>
              </w:rPr>
              <w:t>Inter-team alignment</w:t>
            </w:r>
          </w:p>
        </w:tc>
        <w:tc>
          <w:tcPr>
            <w:tcW w:w="7267" w:type="dxa"/>
            <w:tcBorders>
              <w:top w:val="dotted" w:sz="4" w:space="0" w:color="0070C0"/>
              <w:bottom w:val="dotted" w:sz="4" w:space="0" w:color="0070C0"/>
            </w:tcBorders>
            <w:vAlign w:val="center"/>
            <w:hideMark/>
          </w:tcPr>
          <w:p w14:paraId="4F89E4AC" w14:textId="3B02B93B" w:rsidR="00EB609A" w:rsidRPr="00EB609A" w:rsidRDefault="00EB609A" w:rsidP="003C6BE6">
            <w:pPr>
              <w:spacing w:after="0"/>
              <w:rPr>
                <w:szCs w:val="20"/>
              </w:rPr>
            </w:pPr>
            <w:r w:rsidRPr="00EB609A">
              <w:rPr>
                <w:szCs w:val="20"/>
              </w:rPr>
              <w:t>Defined data c</w:t>
            </w:r>
            <w:r w:rsidR="00D46C6F">
              <w:rPr>
                <w:szCs w:val="20"/>
              </w:rPr>
              <w:t>harters</w:t>
            </w:r>
            <w:r w:rsidRPr="00EB609A">
              <w:rPr>
                <w:szCs w:val="20"/>
              </w:rPr>
              <w:t xml:space="preserve"> and joint implementation roadmap</w:t>
            </w:r>
          </w:p>
        </w:tc>
      </w:tr>
      <w:tr w:rsidR="00EB609A" w:rsidRPr="00EB609A" w14:paraId="439EECB9" w14:textId="77777777" w:rsidTr="005372A4">
        <w:trPr>
          <w:tblCellSpacing w:w="15" w:type="dxa"/>
        </w:trPr>
        <w:tc>
          <w:tcPr>
            <w:tcW w:w="3015" w:type="dxa"/>
            <w:tcBorders>
              <w:top w:val="dotted" w:sz="4" w:space="0" w:color="0070C0"/>
            </w:tcBorders>
            <w:vAlign w:val="center"/>
            <w:hideMark/>
          </w:tcPr>
          <w:p w14:paraId="135384FA" w14:textId="77777777" w:rsidR="00EB609A" w:rsidRPr="00EB609A" w:rsidRDefault="00EB609A" w:rsidP="003C6BE6">
            <w:pPr>
              <w:spacing w:after="0"/>
              <w:rPr>
                <w:szCs w:val="20"/>
              </w:rPr>
            </w:pPr>
            <w:r w:rsidRPr="00EB609A">
              <w:rPr>
                <w:szCs w:val="20"/>
              </w:rPr>
              <w:t>Platform sustainment</w:t>
            </w:r>
          </w:p>
        </w:tc>
        <w:tc>
          <w:tcPr>
            <w:tcW w:w="7267" w:type="dxa"/>
            <w:tcBorders>
              <w:top w:val="dotted" w:sz="4" w:space="0" w:color="0070C0"/>
            </w:tcBorders>
            <w:vAlign w:val="center"/>
            <w:hideMark/>
          </w:tcPr>
          <w:p w14:paraId="06213946" w14:textId="6190156B" w:rsidR="00EB609A" w:rsidRPr="00EB609A" w:rsidRDefault="00EB609A" w:rsidP="003C6BE6">
            <w:pPr>
              <w:spacing w:after="0"/>
              <w:rPr>
                <w:szCs w:val="20"/>
              </w:rPr>
            </w:pPr>
            <w:r w:rsidRPr="00EB609A">
              <w:rPr>
                <w:szCs w:val="20"/>
              </w:rPr>
              <w:t>Ownership by Supply-Chain B.I. with ongoing support from Replen Tech and EDS</w:t>
            </w:r>
          </w:p>
        </w:tc>
      </w:tr>
    </w:tbl>
    <w:p w14:paraId="2C7385E3" w14:textId="223345F8" w:rsidR="00D0092F" w:rsidRDefault="00D46C6F" w:rsidP="003C6BE6">
      <w:pPr>
        <w:pStyle w:val="Heading1"/>
      </w:pPr>
      <w:r>
        <w:t>Entitlement</w:t>
      </w:r>
      <w:r w:rsidR="00D0092F">
        <w:t xml:space="preserve"> Benefit</w:t>
      </w:r>
    </w:p>
    <w:p w14:paraId="7D39558B" w14:textId="23CE2968" w:rsidR="003C2F5B" w:rsidRPr="0025222F" w:rsidRDefault="003C2F5B" w:rsidP="0025222F">
      <w:pPr>
        <w:spacing w:line="240" w:lineRule="auto"/>
        <w:rPr>
          <w:szCs w:val="20"/>
        </w:rPr>
      </w:pPr>
      <w:r w:rsidRPr="0025222F">
        <w:rPr>
          <w:szCs w:val="20"/>
        </w:rPr>
        <w:t xml:space="preserve">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w:t>
      </w:r>
      <w:r w:rsidRPr="0025222F">
        <w:rPr>
          <w:bCs/>
          <w:szCs w:val="20"/>
        </w:rPr>
        <w:t>$1.</w:t>
      </w:r>
      <w:r w:rsidR="00AF2B5A">
        <w:rPr>
          <w:bCs/>
          <w:szCs w:val="20"/>
        </w:rPr>
        <w:t>4</w:t>
      </w:r>
      <w:r w:rsidRPr="0025222F">
        <w:rPr>
          <w:bCs/>
          <w:szCs w:val="20"/>
        </w:rPr>
        <w:t xml:space="preserve"> million in recurring annual benefit</w:t>
      </w:r>
      <w:r w:rsidRPr="0025222F">
        <w:rPr>
          <w:szCs w:val="20"/>
        </w:rPr>
        <w:t xml:space="preserve"> specific to CPFR—building on and amplifying the value generated by VC and Chargeback integration. This combined momentum directly supports Chewy’s digital modernization strategy and represents a pragmatic, low-risk investment in sustained growth and data confidence.</w:t>
      </w:r>
    </w:p>
    <w:p w14:paraId="4B5770A3" w14:textId="6C18ADF5" w:rsidR="00413C4B" w:rsidRDefault="00413C4B" w:rsidP="006E4789">
      <w:pPr>
        <w:pStyle w:val="Heading1"/>
      </w:pPr>
      <w:r>
        <w:lastRenderedPageBreak/>
        <w:t>Appendix 1: Valuation Basis</w:t>
      </w:r>
    </w:p>
    <w:p w14:paraId="06D66A78" w14:textId="21B877FF" w:rsidR="00120C86" w:rsidRPr="00120C86" w:rsidRDefault="00120C86" w:rsidP="00120C86">
      <w:r w:rsidRPr="00120C86">
        <w:t>The valuation basis reflects conservative estimates of CPFR's indirect contribution to operational efficiency and cost avoidance. As a collaborative planning enabler, CPFR's value accrues through improved data visibility, reduced coordination friction, and enhanced analytical capacity—factors that support broader organizational effectiveness but do not generate direct revenue</w:t>
      </w:r>
      <w:r>
        <w:t>.</w:t>
      </w:r>
    </w:p>
    <w:tbl>
      <w:tblPr>
        <w:tblW w:w="12680" w:type="dxa"/>
        <w:tblLook w:val="04A0" w:firstRow="1" w:lastRow="0" w:firstColumn="1" w:lastColumn="0" w:noHBand="0" w:noVBand="1"/>
      </w:tblPr>
      <w:tblGrid>
        <w:gridCol w:w="3420"/>
        <w:gridCol w:w="270"/>
        <w:gridCol w:w="900"/>
        <w:gridCol w:w="270"/>
        <w:gridCol w:w="5760"/>
        <w:gridCol w:w="2060"/>
      </w:tblGrid>
      <w:tr w:rsidR="00413C4B" w:rsidRPr="00413C4B" w14:paraId="2881B9EF" w14:textId="77777777" w:rsidTr="00F31945">
        <w:trPr>
          <w:trHeight w:val="288"/>
        </w:trPr>
        <w:tc>
          <w:tcPr>
            <w:tcW w:w="12680" w:type="dxa"/>
            <w:gridSpan w:val="6"/>
            <w:tcBorders>
              <w:top w:val="nil"/>
              <w:left w:val="nil"/>
              <w:bottom w:val="nil"/>
              <w:right w:val="nil"/>
            </w:tcBorders>
            <w:noWrap/>
            <w:vAlign w:val="bottom"/>
            <w:hideMark/>
          </w:tcPr>
          <w:p w14:paraId="59763FFD" w14:textId="7BE5477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 Operational Efficiency Calculations</w:t>
            </w:r>
          </w:p>
        </w:tc>
      </w:tr>
      <w:tr w:rsidR="00413C4B" w:rsidRPr="00413C4B" w14:paraId="0823F41F"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5EB50778"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61EC6F6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7B3A2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071F12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2E3D7E5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4F8F7D21" w14:textId="77777777" w:rsidTr="00F31945">
        <w:trPr>
          <w:gridAfter w:val="1"/>
          <w:wAfter w:w="2060" w:type="dxa"/>
          <w:trHeight w:val="288"/>
        </w:trPr>
        <w:tc>
          <w:tcPr>
            <w:tcW w:w="3420" w:type="dxa"/>
            <w:tcBorders>
              <w:top w:val="nil"/>
              <w:left w:val="nil"/>
              <w:bottom w:val="nil"/>
              <w:right w:val="nil"/>
            </w:tcBorders>
            <w:noWrap/>
            <w:vAlign w:val="bottom"/>
            <w:hideMark/>
          </w:tcPr>
          <w:p w14:paraId="6659108E" w14:textId="71596281"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ISM </w:t>
            </w:r>
            <w:r w:rsidR="00316109">
              <w:rPr>
                <w:rFonts w:ascii="Aptos Narrow" w:eastAsia="Times New Roman" w:hAnsi="Aptos Narrow" w:cs="Times New Roman"/>
                <w:color w:val="000000"/>
                <w:kern w:val="0"/>
                <w:szCs w:val="20"/>
                <w14:ligatures w14:val="none"/>
              </w:rPr>
              <w:t>c</w:t>
            </w:r>
            <w:r w:rsidRPr="00413C4B">
              <w:rPr>
                <w:rFonts w:ascii="Aptos Narrow" w:eastAsia="Times New Roman" w:hAnsi="Aptos Narrow" w:cs="Times New Roman"/>
                <w:color w:val="000000"/>
                <w:kern w:val="0"/>
                <w:szCs w:val="20"/>
                <w14:ligatures w14:val="none"/>
              </w:rPr>
              <w:t>ohort</w:t>
            </w:r>
          </w:p>
        </w:tc>
        <w:tc>
          <w:tcPr>
            <w:tcW w:w="270" w:type="dxa"/>
            <w:tcBorders>
              <w:top w:val="nil"/>
              <w:left w:val="nil"/>
              <w:bottom w:val="nil"/>
              <w:right w:val="nil"/>
            </w:tcBorders>
            <w:noWrap/>
            <w:vAlign w:val="bottom"/>
            <w:hideMark/>
          </w:tcPr>
          <w:p w14:paraId="01DCFE21"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160DEE6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36</w:t>
            </w:r>
          </w:p>
        </w:tc>
        <w:tc>
          <w:tcPr>
            <w:tcW w:w="270" w:type="dxa"/>
            <w:tcBorders>
              <w:top w:val="nil"/>
              <w:left w:val="nil"/>
              <w:bottom w:val="nil"/>
              <w:right w:val="nil"/>
            </w:tcBorders>
            <w:noWrap/>
            <w:vAlign w:val="bottom"/>
            <w:hideMark/>
          </w:tcPr>
          <w:p w14:paraId="2F7F20DD"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B1C810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Includes Consumables, Health/Science, EFE, Hard Goods, </w:t>
            </w:r>
          </w:p>
        </w:tc>
      </w:tr>
      <w:tr w:rsidR="00413C4B" w:rsidRPr="00413C4B" w14:paraId="67643B75" w14:textId="77777777" w:rsidTr="00F31945">
        <w:trPr>
          <w:gridAfter w:val="1"/>
          <w:wAfter w:w="2060" w:type="dxa"/>
          <w:trHeight w:val="288"/>
        </w:trPr>
        <w:tc>
          <w:tcPr>
            <w:tcW w:w="3420" w:type="dxa"/>
            <w:tcBorders>
              <w:top w:val="nil"/>
              <w:left w:val="nil"/>
              <w:bottom w:val="nil"/>
              <w:right w:val="nil"/>
            </w:tcBorders>
            <w:noWrap/>
            <w:vAlign w:val="bottom"/>
            <w:hideMark/>
          </w:tcPr>
          <w:p w14:paraId="4EC037AD" w14:textId="3AD44198"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H</w:t>
            </w:r>
            <w:r>
              <w:rPr>
                <w:rFonts w:ascii="Aptos Narrow" w:eastAsia="Times New Roman" w:hAnsi="Aptos Narrow" w:cs="Times New Roman"/>
                <w:color w:val="000000"/>
                <w:kern w:val="0"/>
                <w:szCs w:val="20"/>
                <w14:ligatures w14:val="none"/>
              </w:rPr>
              <w:t>ou</w:t>
            </w:r>
            <w:r w:rsidRPr="00413C4B">
              <w:rPr>
                <w:rFonts w:ascii="Aptos Narrow" w:eastAsia="Times New Roman" w:hAnsi="Aptos Narrow" w:cs="Times New Roman"/>
                <w:color w:val="000000"/>
                <w:kern w:val="0"/>
                <w:szCs w:val="20"/>
                <w14:ligatures w14:val="none"/>
              </w:rPr>
              <w:t>rs per person/week</w:t>
            </w:r>
          </w:p>
        </w:tc>
        <w:tc>
          <w:tcPr>
            <w:tcW w:w="270" w:type="dxa"/>
            <w:tcBorders>
              <w:top w:val="nil"/>
              <w:left w:val="nil"/>
              <w:bottom w:val="nil"/>
              <w:right w:val="nil"/>
            </w:tcBorders>
            <w:noWrap/>
            <w:vAlign w:val="bottom"/>
            <w:hideMark/>
          </w:tcPr>
          <w:p w14:paraId="3F24B5C6"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E5E432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w:t>
            </w:r>
          </w:p>
        </w:tc>
        <w:tc>
          <w:tcPr>
            <w:tcW w:w="270" w:type="dxa"/>
            <w:tcBorders>
              <w:top w:val="nil"/>
              <w:left w:val="nil"/>
              <w:bottom w:val="nil"/>
              <w:right w:val="nil"/>
            </w:tcBorders>
            <w:noWrap/>
            <w:vAlign w:val="bottom"/>
            <w:hideMark/>
          </w:tcPr>
          <w:p w14:paraId="0143CB73"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0E0B3F3" w14:textId="4695BBE5" w:rsidR="00413C4B" w:rsidRPr="00413C4B" w:rsidRDefault="00213DDC" w:rsidP="006E4789">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Median surveyed response value</w:t>
            </w:r>
          </w:p>
        </w:tc>
      </w:tr>
      <w:tr w:rsidR="00413C4B" w:rsidRPr="00413C4B" w14:paraId="20F32776" w14:textId="77777777" w:rsidTr="00F31945">
        <w:trPr>
          <w:gridAfter w:val="1"/>
          <w:wAfter w:w="2060" w:type="dxa"/>
          <w:trHeight w:val="288"/>
        </w:trPr>
        <w:tc>
          <w:tcPr>
            <w:tcW w:w="3420" w:type="dxa"/>
            <w:tcBorders>
              <w:top w:val="nil"/>
              <w:left w:val="nil"/>
              <w:bottom w:val="nil"/>
              <w:right w:val="nil"/>
            </w:tcBorders>
            <w:noWrap/>
            <w:vAlign w:val="bottom"/>
            <w:hideMark/>
          </w:tcPr>
          <w:p w14:paraId="0B49D61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Rate</w:t>
            </w:r>
          </w:p>
        </w:tc>
        <w:tc>
          <w:tcPr>
            <w:tcW w:w="270" w:type="dxa"/>
            <w:tcBorders>
              <w:top w:val="nil"/>
              <w:left w:val="nil"/>
              <w:bottom w:val="nil"/>
              <w:right w:val="nil"/>
            </w:tcBorders>
            <w:noWrap/>
            <w:vAlign w:val="bottom"/>
            <w:hideMark/>
          </w:tcPr>
          <w:p w14:paraId="2AA77678"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57896F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64.90</w:t>
            </w:r>
          </w:p>
        </w:tc>
        <w:tc>
          <w:tcPr>
            <w:tcW w:w="270" w:type="dxa"/>
            <w:tcBorders>
              <w:top w:val="nil"/>
              <w:left w:val="nil"/>
              <w:bottom w:val="nil"/>
              <w:right w:val="nil"/>
            </w:tcBorders>
            <w:noWrap/>
            <w:vAlign w:val="bottom"/>
            <w:hideMark/>
          </w:tcPr>
          <w:p w14:paraId="2E442C2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85E33B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C5 average (likely higher IRL)</w:t>
            </w:r>
          </w:p>
        </w:tc>
      </w:tr>
      <w:tr w:rsidR="00413C4B" w:rsidRPr="00413C4B" w14:paraId="7EBF18F4" w14:textId="77777777" w:rsidTr="00F31945">
        <w:trPr>
          <w:gridAfter w:val="1"/>
          <w:wAfter w:w="2060" w:type="dxa"/>
          <w:trHeight w:val="288"/>
        </w:trPr>
        <w:tc>
          <w:tcPr>
            <w:tcW w:w="3420" w:type="dxa"/>
            <w:tcBorders>
              <w:top w:val="nil"/>
              <w:left w:val="nil"/>
              <w:bottom w:val="nil"/>
              <w:right w:val="nil"/>
            </w:tcBorders>
            <w:noWrap/>
            <w:vAlign w:val="bottom"/>
            <w:hideMark/>
          </w:tcPr>
          <w:p w14:paraId="2B3D98E2"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Weeks</w:t>
            </w:r>
          </w:p>
        </w:tc>
        <w:tc>
          <w:tcPr>
            <w:tcW w:w="270" w:type="dxa"/>
            <w:tcBorders>
              <w:top w:val="nil"/>
              <w:left w:val="nil"/>
              <w:bottom w:val="nil"/>
              <w:right w:val="nil"/>
            </w:tcBorders>
            <w:noWrap/>
            <w:vAlign w:val="bottom"/>
            <w:hideMark/>
          </w:tcPr>
          <w:p w14:paraId="751EE6B9"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3D86322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52</w:t>
            </w:r>
          </w:p>
        </w:tc>
        <w:tc>
          <w:tcPr>
            <w:tcW w:w="270" w:type="dxa"/>
            <w:tcBorders>
              <w:top w:val="nil"/>
              <w:left w:val="nil"/>
              <w:bottom w:val="nil"/>
              <w:right w:val="nil"/>
            </w:tcBorders>
            <w:noWrap/>
            <w:vAlign w:val="bottom"/>
            <w:hideMark/>
          </w:tcPr>
          <w:p w14:paraId="603DFD9E"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5378A3D" w14:textId="221C01F3"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Burden rate does not stop during PTO/Holidays</w:t>
            </w:r>
          </w:p>
        </w:tc>
      </w:tr>
      <w:tr w:rsidR="00413C4B" w:rsidRPr="00413C4B" w14:paraId="44DE99BA" w14:textId="77777777" w:rsidTr="00F31945">
        <w:trPr>
          <w:gridAfter w:val="1"/>
          <w:wAfter w:w="2060" w:type="dxa"/>
          <w:trHeight w:val="576"/>
        </w:trPr>
        <w:tc>
          <w:tcPr>
            <w:tcW w:w="3420" w:type="dxa"/>
            <w:tcBorders>
              <w:top w:val="nil"/>
              <w:left w:val="nil"/>
              <w:bottom w:val="double" w:sz="4" w:space="0" w:color="auto"/>
              <w:right w:val="nil"/>
            </w:tcBorders>
            <w:noWrap/>
            <w:hideMark/>
          </w:tcPr>
          <w:p w14:paraId="042D3DD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FBLR</w:t>
            </w:r>
          </w:p>
        </w:tc>
        <w:tc>
          <w:tcPr>
            <w:tcW w:w="270" w:type="dxa"/>
            <w:tcBorders>
              <w:top w:val="nil"/>
              <w:left w:val="nil"/>
              <w:bottom w:val="double" w:sz="4" w:space="0" w:color="auto"/>
              <w:right w:val="nil"/>
            </w:tcBorders>
            <w:noWrap/>
            <w:hideMark/>
          </w:tcPr>
          <w:p w14:paraId="56A9CB27"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4AE3688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2.5</w:t>
            </w:r>
          </w:p>
        </w:tc>
        <w:tc>
          <w:tcPr>
            <w:tcW w:w="270" w:type="dxa"/>
            <w:tcBorders>
              <w:top w:val="nil"/>
              <w:left w:val="nil"/>
              <w:bottom w:val="nil"/>
              <w:right w:val="nil"/>
            </w:tcBorders>
            <w:noWrap/>
            <w:hideMark/>
          </w:tcPr>
          <w:p w14:paraId="112E5A0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3A4003C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Inflation factor for fringe, overhead, G&amp;A--based on GAO guidelines and ACEC/AEC project estimators for white-collar roles</w:t>
            </w:r>
          </w:p>
        </w:tc>
      </w:tr>
      <w:tr w:rsidR="00413C4B" w:rsidRPr="00413C4B" w14:paraId="533AF759"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31B740F7" w14:textId="76FE026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5E4409C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73385DD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607500</w:t>
            </w:r>
          </w:p>
        </w:tc>
        <w:tc>
          <w:tcPr>
            <w:tcW w:w="270" w:type="dxa"/>
            <w:tcBorders>
              <w:top w:val="nil"/>
              <w:left w:val="nil"/>
              <w:bottom w:val="nil"/>
              <w:right w:val="nil"/>
            </w:tcBorders>
            <w:noWrap/>
            <w:vAlign w:val="bottom"/>
            <w:hideMark/>
          </w:tcPr>
          <w:p w14:paraId="54755B5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53F29F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CE35D51" w14:textId="77777777" w:rsidTr="00F31945">
        <w:trPr>
          <w:gridAfter w:val="1"/>
          <w:wAfter w:w="2060" w:type="dxa"/>
          <w:trHeight w:val="288"/>
        </w:trPr>
        <w:tc>
          <w:tcPr>
            <w:tcW w:w="3420" w:type="dxa"/>
            <w:tcBorders>
              <w:top w:val="nil"/>
              <w:left w:val="nil"/>
              <w:bottom w:val="nil"/>
              <w:right w:val="nil"/>
            </w:tcBorders>
            <w:noWrap/>
            <w:vAlign w:val="bottom"/>
            <w:hideMark/>
          </w:tcPr>
          <w:p w14:paraId="182FF7C3"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340B2E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641D2C0D"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4E2FD58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1C1F6E9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83EB558" w14:textId="77777777" w:rsidTr="00F31945">
        <w:trPr>
          <w:trHeight w:val="288"/>
        </w:trPr>
        <w:tc>
          <w:tcPr>
            <w:tcW w:w="12680" w:type="dxa"/>
            <w:gridSpan w:val="6"/>
            <w:tcBorders>
              <w:top w:val="nil"/>
              <w:left w:val="nil"/>
              <w:bottom w:val="nil"/>
              <w:right w:val="nil"/>
            </w:tcBorders>
            <w:noWrap/>
            <w:vAlign w:val="bottom"/>
            <w:hideMark/>
          </w:tcPr>
          <w:p w14:paraId="397FD5E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 Vendor Enablement &amp; Partnership Expansion</w:t>
            </w:r>
          </w:p>
        </w:tc>
      </w:tr>
      <w:tr w:rsidR="00413C4B" w:rsidRPr="00413C4B" w14:paraId="60EB5C87"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04F7F6C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7C1F38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26A92CD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432AB61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58982C6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626362" w:rsidRPr="00413C4B" w14:paraId="2EDBFF6D" w14:textId="77777777" w:rsidTr="00F31945">
        <w:trPr>
          <w:gridAfter w:val="1"/>
          <w:wAfter w:w="2060" w:type="dxa"/>
          <w:trHeight w:val="300"/>
        </w:trPr>
        <w:tc>
          <w:tcPr>
            <w:tcW w:w="3420" w:type="dxa"/>
            <w:tcBorders>
              <w:top w:val="single" w:sz="4" w:space="0" w:color="auto"/>
              <w:left w:val="nil"/>
              <w:bottom w:val="nil"/>
              <w:right w:val="nil"/>
            </w:tcBorders>
            <w:noWrap/>
            <w:vAlign w:val="bottom"/>
          </w:tcPr>
          <w:p w14:paraId="7CA3AE75" w14:textId="6EB47E37" w:rsidR="00626362" w:rsidRPr="00413C4B"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Vendor friction reduction</w:t>
            </w:r>
          </w:p>
        </w:tc>
        <w:tc>
          <w:tcPr>
            <w:tcW w:w="270" w:type="dxa"/>
            <w:tcBorders>
              <w:top w:val="single" w:sz="4" w:space="0" w:color="auto"/>
              <w:left w:val="nil"/>
              <w:bottom w:val="nil"/>
              <w:right w:val="nil"/>
            </w:tcBorders>
            <w:noWrap/>
            <w:vAlign w:val="bottom"/>
          </w:tcPr>
          <w:p w14:paraId="2E68A742" w14:textId="77777777" w:rsidR="00626362" w:rsidRPr="00413C4B" w:rsidRDefault="00626362"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single" w:sz="4" w:space="0" w:color="auto"/>
              <w:left w:val="nil"/>
              <w:bottom w:val="nil"/>
              <w:right w:val="nil"/>
            </w:tcBorders>
            <w:noWrap/>
            <w:vAlign w:val="bottom"/>
          </w:tcPr>
          <w:p w14:paraId="7FE556FB" w14:textId="57F37421" w:rsidR="00626362" w:rsidRPr="00413C4B" w:rsidRDefault="00626362" w:rsidP="006E4789">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0.5</w:t>
            </w:r>
          </w:p>
        </w:tc>
        <w:tc>
          <w:tcPr>
            <w:tcW w:w="270" w:type="dxa"/>
            <w:tcBorders>
              <w:top w:val="single" w:sz="4" w:space="0" w:color="auto"/>
              <w:left w:val="nil"/>
              <w:bottom w:val="nil"/>
              <w:right w:val="nil"/>
            </w:tcBorders>
            <w:noWrap/>
            <w:vAlign w:val="bottom"/>
          </w:tcPr>
          <w:p w14:paraId="1C46CA61" w14:textId="77777777" w:rsidR="00626362" w:rsidRPr="00413C4B" w:rsidRDefault="00626362"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single" w:sz="4" w:space="0" w:color="auto"/>
              <w:left w:val="nil"/>
              <w:bottom w:val="nil"/>
              <w:right w:val="nil"/>
            </w:tcBorders>
            <w:vAlign w:val="bottom"/>
          </w:tcPr>
          <w:p w14:paraId="62CEB3FE" w14:textId="3C56655D" w:rsidR="00626362" w:rsidRPr="00626362" w:rsidRDefault="00626362" w:rsidP="006E4789">
            <w:pPr>
              <w:spacing w:before="40" w:after="0" w:line="240" w:lineRule="auto"/>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Avg hours saved per week via self-service</w:t>
            </w:r>
          </w:p>
        </w:tc>
      </w:tr>
      <w:tr w:rsidR="00626362" w:rsidRPr="00413C4B" w14:paraId="5CB553ED" w14:textId="77777777" w:rsidTr="00F31945">
        <w:trPr>
          <w:gridAfter w:val="1"/>
          <w:wAfter w:w="2060" w:type="dxa"/>
          <w:trHeight w:val="288"/>
        </w:trPr>
        <w:tc>
          <w:tcPr>
            <w:tcW w:w="3420" w:type="dxa"/>
            <w:tcBorders>
              <w:top w:val="nil"/>
              <w:left w:val="nil"/>
              <w:right w:val="nil"/>
            </w:tcBorders>
            <w:noWrap/>
            <w:vAlign w:val="bottom"/>
          </w:tcPr>
          <w:p w14:paraId="484B9707" w14:textId="3861408E" w:rsidR="00626362" w:rsidRPr="00626362"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Vendor opportunity cost rate</w:t>
            </w:r>
          </w:p>
        </w:tc>
        <w:tc>
          <w:tcPr>
            <w:tcW w:w="270" w:type="dxa"/>
            <w:tcBorders>
              <w:top w:val="nil"/>
              <w:left w:val="nil"/>
              <w:right w:val="nil"/>
            </w:tcBorders>
            <w:noWrap/>
            <w:vAlign w:val="bottom"/>
          </w:tcPr>
          <w:p w14:paraId="16EDB53F" w14:textId="024DE5D9"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right w:val="nil"/>
            </w:tcBorders>
            <w:noWrap/>
            <w:vAlign w:val="bottom"/>
          </w:tcPr>
          <w:p w14:paraId="384EF33A" w14:textId="561E9A20" w:rsidR="00626362" w:rsidRPr="00626362" w:rsidRDefault="00626362" w:rsidP="00626362">
            <w:pPr>
              <w:spacing w:before="40" w:after="0" w:line="240" w:lineRule="auto"/>
              <w:jc w:val="right"/>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50</w:t>
            </w:r>
          </w:p>
        </w:tc>
        <w:tc>
          <w:tcPr>
            <w:tcW w:w="270" w:type="dxa"/>
            <w:tcBorders>
              <w:top w:val="nil"/>
              <w:left w:val="nil"/>
              <w:bottom w:val="nil"/>
              <w:right w:val="nil"/>
            </w:tcBorders>
            <w:noWrap/>
            <w:vAlign w:val="bottom"/>
          </w:tcPr>
          <w:p w14:paraId="47D5BA88" w14:textId="7272E1B7"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6D61D1AA" w14:textId="17B8D1CA"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Conservative estimate</w:t>
            </w:r>
            <w:r w:rsidR="00AF2B5A">
              <w:rPr>
                <w:rFonts w:ascii="Aptos Narrow" w:eastAsia="Times New Roman" w:hAnsi="Aptos Narrow" w:cs="Times New Roman"/>
                <w:color w:val="000000"/>
                <w:kern w:val="0"/>
                <w:szCs w:val="20"/>
                <w14:ligatures w14:val="none"/>
              </w:rPr>
              <w:t xml:space="preserve"> of fungible vendor contribution recovery</w:t>
            </w:r>
          </w:p>
        </w:tc>
      </w:tr>
      <w:tr w:rsidR="00626362" w:rsidRPr="00413C4B" w14:paraId="5109AB08" w14:textId="77777777" w:rsidTr="00F31945">
        <w:trPr>
          <w:gridAfter w:val="1"/>
          <w:wAfter w:w="2060" w:type="dxa"/>
          <w:trHeight w:val="288"/>
        </w:trPr>
        <w:tc>
          <w:tcPr>
            <w:tcW w:w="3420" w:type="dxa"/>
            <w:tcBorders>
              <w:top w:val="nil"/>
              <w:left w:val="nil"/>
              <w:bottom w:val="double" w:sz="4" w:space="0" w:color="auto"/>
              <w:right w:val="nil"/>
            </w:tcBorders>
            <w:noWrap/>
            <w:vAlign w:val="bottom"/>
          </w:tcPr>
          <w:p w14:paraId="7D32530B" w14:textId="3DEC0AAD" w:rsidR="00626362" w:rsidRPr="00413C4B"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Chewy capture rate</w:t>
            </w:r>
          </w:p>
        </w:tc>
        <w:tc>
          <w:tcPr>
            <w:tcW w:w="270" w:type="dxa"/>
            <w:tcBorders>
              <w:top w:val="nil"/>
              <w:left w:val="nil"/>
              <w:bottom w:val="double" w:sz="4" w:space="0" w:color="auto"/>
              <w:right w:val="nil"/>
            </w:tcBorders>
            <w:noWrap/>
            <w:vAlign w:val="bottom"/>
          </w:tcPr>
          <w:p w14:paraId="0EA8D6A5"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tcPr>
          <w:p w14:paraId="7E3F1EFA" w14:textId="35C957AD" w:rsidR="00626362" w:rsidRPr="00413C4B" w:rsidRDefault="00626362" w:rsidP="00626362">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.15</w:t>
            </w:r>
          </w:p>
        </w:tc>
        <w:tc>
          <w:tcPr>
            <w:tcW w:w="270" w:type="dxa"/>
            <w:tcBorders>
              <w:top w:val="nil"/>
              <w:left w:val="nil"/>
              <w:bottom w:val="nil"/>
              <w:right w:val="nil"/>
            </w:tcBorders>
            <w:noWrap/>
            <w:vAlign w:val="bottom"/>
          </w:tcPr>
          <w:p w14:paraId="56944F03" w14:textId="079A15C4"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12A7F90A" w14:textId="5D95B366"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Attribution factor</w:t>
            </w:r>
            <w:r w:rsidR="00AF2B5A">
              <w:rPr>
                <w:rFonts w:ascii="Aptos Narrow" w:eastAsia="Times New Roman" w:hAnsi="Aptos Narrow" w:cs="Times New Roman"/>
                <w:color w:val="000000"/>
                <w:kern w:val="0"/>
                <w:szCs w:val="20"/>
                <w14:ligatures w14:val="none"/>
              </w:rPr>
              <w:t xml:space="preserve"> for Chewy enablement</w:t>
            </w:r>
          </w:p>
        </w:tc>
      </w:tr>
      <w:tr w:rsidR="00626362" w:rsidRPr="00413C4B" w14:paraId="2C920BAB" w14:textId="77777777" w:rsidTr="00F31945">
        <w:trPr>
          <w:gridAfter w:val="1"/>
          <w:wAfter w:w="2060" w:type="dxa"/>
          <w:trHeight w:val="288"/>
        </w:trPr>
        <w:tc>
          <w:tcPr>
            <w:tcW w:w="3420" w:type="dxa"/>
            <w:tcBorders>
              <w:top w:val="double" w:sz="4" w:space="0" w:color="auto"/>
              <w:left w:val="nil"/>
              <w:bottom w:val="nil"/>
              <w:right w:val="nil"/>
            </w:tcBorders>
            <w:noWrap/>
            <w:vAlign w:val="bottom"/>
          </w:tcPr>
          <w:p w14:paraId="357854F6" w14:textId="4051F27A" w:rsidR="00626362" w:rsidRPr="00413C4B" w:rsidRDefault="00F31945" w:rsidP="00626362">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Annual Op Ex</w:t>
            </w:r>
          </w:p>
        </w:tc>
        <w:tc>
          <w:tcPr>
            <w:tcW w:w="270" w:type="dxa"/>
            <w:tcBorders>
              <w:top w:val="double" w:sz="4" w:space="0" w:color="auto"/>
              <w:left w:val="nil"/>
              <w:bottom w:val="nil"/>
              <w:right w:val="nil"/>
            </w:tcBorders>
            <w:noWrap/>
            <w:vAlign w:val="bottom"/>
          </w:tcPr>
          <w:p w14:paraId="64602F5E"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tcPr>
          <w:p w14:paraId="5906065C" w14:textId="1E034055" w:rsidR="00626362" w:rsidRPr="00413C4B" w:rsidRDefault="00AF2B5A" w:rsidP="00F31945">
            <w:pPr>
              <w:spacing w:before="40" w:after="0" w:line="240" w:lineRule="auto"/>
              <w:jc w:val="right"/>
              <w:rPr>
                <w:rFonts w:ascii="Aptos Narrow" w:eastAsia="Times New Roman" w:hAnsi="Aptos Narrow" w:cs="Times New Roman"/>
                <w:color w:val="000000"/>
                <w:kern w:val="0"/>
                <w:szCs w:val="20"/>
                <w14:ligatures w14:val="none"/>
              </w:rPr>
            </w:pPr>
            <w:r w:rsidRPr="00F31945">
              <w:rPr>
                <w:rFonts w:ascii="Aptos Narrow" w:eastAsia="Times New Roman" w:hAnsi="Aptos Narrow" w:cs="Times New Roman"/>
                <w:i/>
                <w:iCs/>
                <w:color w:val="000000"/>
                <w:kern w:val="0"/>
                <w:szCs w:val="20"/>
                <w14:ligatures w14:val="none"/>
              </w:rPr>
              <w:t>458250</w:t>
            </w:r>
          </w:p>
        </w:tc>
        <w:tc>
          <w:tcPr>
            <w:tcW w:w="270" w:type="dxa"/>
            <w:tcBorders>
              <w:top w:val="nil"/>
              <w:left w:val="nil"/>
              <w:bottom w:val="nil"/>
              <w:right w:val="nil"/>
            </w:tcBorders>
            <w:noWrap/>
            <w:vAlign w:val="bottom"/>
          </w:tcPr>
          <w:p w14:paraId="572ECFC3"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39E54B9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626362" w:rsidRPr="00413C4B" w14:paraId="23A4A302" w14:textId="77777777" w:rsidTr="00F31945">
        <w:trPr>
          <w:gridAfter w:val="1"/>
          <w:wAfter w:w="2060" w:type="dxa"/>
          <w:trHeight w:val="288"/>
        </w:trPr>
        <w:tc>
          <w:tcPr>
            <w:tcW w:w="3420" w:type="dxa"/>
            <w:tcBorders>
              <w:top w:val="nil"/>
              <w:left w:val="nil"/>
              <w:bottom w:val="nil"/>
              <w:right w:val="nil"/>
            </w:tcBorders>
            <w:noWrap/>
            <w:vAlign w:val="bottom"/>
          </w:tcPr>
          <w:p w14:paraId="6CA5071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270" w:type="dxa"/>
            <w:tcBorders>
              <w:top w:val="nil"/>
              <w:left w:val="nil"/>
              <w:bottom w:val="nil"/>
              <w:right w:val="nil"/>
            </w:tcBorders>
            <w:noWrap/>
            <w:vAlign w:val="bottom"/>
          </w:tcPr>
          <w:p w14:paraId="120E40D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tcPr>
          <w:p w14:paraId="47DA7490" w14:textId="77777777" w:rsidR="00626362" w:rsidRPr="00413C4B" w:rsidRDefault="00626362" w:rsidP="00F31945">
            <w:pPr>
              <w:spacing w:before="40" w:after="0" w:line="240" w:lineRule="auto"/>
              <w:jc w:val="right"/>
              <w:rPr>
                <w:rFonts w:ascii="Aptos Narrow" w:eastAsia="Times New Roman" w:hAnsi="Aptos Narrow" w:cs="Times New Roman"/>
                <w:color w:val="000000"/>
                <w:kern w:val="0"/>
                <w:szCs w:val="20"/>
                <w14:ligatures w14:val="none"/>
              </w:rPr>
            </w:pPr>
          </w:p>
        </w:tc>
        <w:tc>
          <w:tcPr>
            <w:tcW w:w="270" w:type="dxa"/>
            <w:tcBorders>
              <w:top w:val="nil"/>
              <w:left w:val="nil"/>
              <w:bottom w:val="nil"/>
              <w:right w:val="nil"/>
            </w:tcBorders>
            <w:noWrap/>
            <w:vAlign w:val="bottom"/>
          </w:tcPr>
          <w:p w14:paraId="22B686D7"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4F5FA75E"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626362" w:rsidRPr="00413C4B" w14:paraId="435AE53A" w14:textId="77777777" w:rsidTr="00FC1C0B">
        <w:trPr>
          <w:gridAfter w:val="1"/>
          <w:wAfter w:w="2060" w:type="dxa"/>
          <w:trHeight w:val="288"/>
        </w:trPr>
        <w:tc>
          <w:tcPr>
            <w:tcW w:w="3420" w:type="dxa"/>
            <w:tcBorders>
              <w:top w:val="nil"/>
              <w:left w:val="nil"/>
              <w:bottom w:val="single" w:sz="4" w:space="0" w:color="auto"/>
              <w:right w:val="nil"/>
            </w:tcBorders>
            <w:noWrap/>
            <w:vAlign w:val="bottom"/>
            <w:hideMark/>
          </w:tcPr>
          <w:p w14:paraId="18281C62" w14:textId="65402A62" w:rsidR="00626362" w:rsidRPr="00413C4B" w:rsidRDefault="00F31945" w:rsidP="00F31945">
            <w:pPr>
              <w:spacing w:before="40" w:after="0" w:line="240" w:lineRule="auto"/>
              <w:ind w:leftChars="-10" w:hangingChars="10" w:hanging="2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[3] </w:t>
            </w:r>
            <w:r w:rsidR="00FC1C0B">
              <w:rPr>
                <w:rFonts w:ascii="Aptos Narrow" w:eastAsia="Times New Roman" w:hAnsi="Aptos Narrow" w:cs="Times New Roman"/>
                <w:color w:val="000000"/>
                <w:kern w:val="0"/>
                <w:szCs w:val="20"/>
                <w14:ligatures w14:val="none"/>
              </w:rPr>
              <w:t>Enterprise Data Alignment</w:t>
            </w:r>
          </w:p>
        </w:tc>
        <w:tc>
          <w:tcPr>
            <w:tcW w:w="270" w:type="dxa"/>
            <w:tcBorders>
              <w:top w:val="nil"/>
              <w:left w:val="nil"/>
              <w:bottom w:val="single" w:sz="4" w:space="0" w:color="auto"/>
              <w:right w:val="nil"/>
            </w:tcBorders>
            <w:noWrap/>
            <w:vAlign w:val="bottom"/>
            <w:hideMark/>
          </w:tcPr>
          <w:p w14:paraId="55D59465" w14:textId="77777777" w:rsidR="00626362" w:rsidRPr="00413C4B" w:rsidRDefault="00626362" w:rsidP="00626362">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single" w:sz="4" w:space="0" w:color="auto"/>
              <w:right w:val="nil"/>
            </w:tcBorders>
            <w:noWrap/>
            <w:vAlign w:val="bottom"/>
            <w:hideMark/>
          </w:tcPr>
          <w:p w14:paraId="7DAADAC0" w14:textId="4E0B73C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270" w:type="dxa"/>
            <w:tcBorders>
              <w:top w:val="nil"/>
              <w:left w:val="nil"/>
              <w:bottom w:val="single" w:sz="4" w:space="0" w:color="auto"/>
              <w:right w:val="nil"/>
            </w:tcBorders>
            <w:noWrap/>
            <w:vAlign w:val="bottom"/>
            <w:hideMark/>
          </w:tcPr>
          <w:p w14:paraId="1E9705D1"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single" w:sz="4" w:space="0" w:color="auto"/>
              <w:right w:val="nil"/>
            </w:tcBorders>
            <w:vAlign w:val="bottom"/>
            <w:hideMark/>
          </w:tcPr>
          <w:p w14:paraId="22C6E564" w14:textId="286577C8"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FC1C0B" w:rsidRPr="00413C4B" w14:paraId="638FD8F7" w14:textId="77777777" w:rsidTr="00FC1C0B">
        <w:trPr>
          <w:gridAfter w:val="1"/>
          <w:wAfter w:w="2060" w:type="dxa"/>
          <w:trHeight w:val="288"/>
        </w:trPr>
        <w:tc>
          <w:tcPr>
            <w:tcW w:w="3420" w:type="dxa"/>
            <w:tcBorders>
              <w:top w:val="single" w:sz="4" w:space="0" w:color="auto"/>
              <w:left w:val="nil"/>
              <w:bottom w:val="single" w:sz="8" w:space="0" w:color="auto"/>
              <w:right w:val="nil"/>
            </w:tcBorders>
            <w:noWrap/>
            <w:vAlign w:val="bottom"/>
          </w:tcPr>
          <w:p w14:paraId="1FB6A74F" w14:textId="785ADE6E" w:rsidR="00FC1C0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tcPr>
          <w:p w14:paraId="3D3D42BD" w14:textId="51140EC2"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tcPr>
          <w:p w14:paraId="7236199C" w14:textId="0986F86E"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tcPr>
          <w:p w14:paraId="2081646B" w14:textId="19F5402C"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tcPr>
          <w:p w14:paraId="1EF62255" w14:textId="70AB91E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FC1C0B" w:rsidRPr="00413C4B" w14:paraId="556F0F5E" w14:textId="77777777" w:rsidTr="00FC1C0B">
        <w:trPr>
          <w:gridAfter w:val="1"/>
          <w:wAfter w:w="2060" w:type="dxa"/>
          <w:trHeight w:val="288"/>
        </w:trPr>
        <w:tc>
          <w:tcPr>
            <w:tcW w:w="3420" w:type="dxa"/>
            <w:tcBorders>
              <w:top w:val="single" w:sz="8" w:space="0" w:color="auto"/>
              <w:left w:val="nil"/>
              <w:bottom w:val="nil"/>
              <w:right w:val="nil"/>
            </w:tcBorders>
            <w:noWrap/>
            <w:hideMark/>
          </w:tcPr>
          <w:p w14:paraId="1118A8E1" w14:textId="61D07B2D"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Annual </w:t>
            </w:r>
            <w:r>
              <w:rPr>
                <w:rFonts w:ascii="Aptos Narrow" w:eastAsia="Times New Roman" w:hAnsi="Aptos Narrow" w:cs="Times New Roman"/>
                <w:color w:val="000000"/>
                <w:kern w:val="0"/>
                <w:szCs w:val="20"/>
                <w14:ligatures w14:val="none"/>
              </w:rPr>
              <w:t xml:space="preserve">Major </w:t>
            </w:r>
            <w:r w:rsidRPr="00413C4B">
              <w:rPr>
                <w:rFonts w:ascii="Aptos Narrow" w:eastAsia="Times New Roman" w:hAnsi="Aptos Narrow" w:cs="Times New Roman"/>
                <w:color w:val="000000"/>
                <w:kern w:val="0"/>
                <w:szCs w:val="20"/>
                <w14:ligatures w14:val="none"/>
              </w:rPr>
              <w:t>COE</w:t>
            </w:r>
            <w:r>
              <w:rPr>
                <w:rFonts w:ascii="Aptos Narrow" w:eastAsia="Times New Roman" w:hAnsi="Aptos Narrow" w:cs="Times New Roman"/>
                <w:color w:val="000000"/>
                <w:kern w:val="0"/>
                <w:szCs w:val="20"/>
                <w14:ligatures w14:val="none"/>
              </w:rPr>
              <w:t xml:space="preserve"> Events</w:t>
            </w:r>
          </w:p>
        </w:tc>
        <w:tc>
          <w:tcPr>
            <w:tcW w:w="270" w:type="dxa"/>
            <w:tcBorders>
              <w:top w:val="single" w:sz="8" w:space="0" w:color="auto"/>
              <w:left w:val="nil"/>
              <w:bottom w:val="nil"/>
              <w:right w:val="nil"/>
            </w:tcBorders>
            <w:noWrap/>
            <w:hideMark/>
          </w:tcPr>
          <w:p w14:paraId="7A138C29" w14:textId="77777777" w:rsidR="00FC1C0B" w:rsidRPr="00413C4B" w:rsidRDefault="00FC1C0B" w:rsidP="00FC1C0B">
            <w:pPr>
              <w:spacing w:before="40" w:after="0" w:line="240" w:lineRule="auto"/>
              <w:ind w:firstLineChars="100" w:firstLine="200"/>
              <w:jc w:val="right"/>
              <w:rPr>
                <w:rFonts w:ascii="Aptos Narrow" w:eastAsia="Times New Roman" w:hAnsi="Aptos Narrow" w:cs="Times New Roman"/>
                <w:color w:val="000000"/>
                <w:kern w:val="0"/>
                <w:szCs w:val="20"/>
                <w14:ligatures w14:val="none"/>
              </w:rPr>
            </w:pPr>
          </w:p>
        </w:tc>
        <w:tc>
          <w:tcPr>
            <w:tcW w:w="900" w:type="dxa"/>
            <w:tcBorders>
              <w:top w:val="single" w:sz="8" w:space="0" w:color="auto"/>
              <w:left w:val="nil"/>
              <w:bottom w:val="nil"/>
              <w:right w:val="nil"/>
            </w:tcBorders>
            <w:noWrap/>
            <w:hideMark/>
          </w:tcPr>
          <w:p w14:paraId="5AF50B96" w14:textId="32A71A65"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12</w:t>
            </w:r>
          </w:p>
        </w:tc>
        <w:tc>
          <w:tcPr>
            <w:tcW w:w="270" w:type="dxa"/>
            <w:tcBorders>
              <w:top w:val="single" w:sz="8" w:space="0" w:color="auto"/>
              <w:left w:val="nil"/>
              <w:bottom w:val="nil"/>
              <w:right w:val="nil"/>
            </w:tcBorders>
            <w:noWrap/>
            <w:hideMark/>
          </w:tcPr>
          <w:p w14:paraId="05CA5BBA"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single" w:sz="8" w:space="0" w:color="auto"/>
              <w:left w:val="nil"/>
              <w:bottom w:val="nil"/>
              <w:right w:val="nil"/>
            </w:tcBorders>
            <w:hideMark/>
          </w:tcPr>
          <w:p w14:paraId="3F2DA711" w14:textId="61AEF5E4"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Inventory</w:t>
            </w:r>
            <w:r w:rsidRPr="00413C4B">
              <w:rPr>
                <w:rFonts w:ascii="Aptos Narrow" w:eastAsia="Times New Roman" w:hAnsi="Aptos Narrow" w:cs="Times New Roman"/>
                <w:color w:val="000000"/>
                <w:kern w:val="0"/>
                <w:szCs w:val="20"/>
                <w14:ligatures w14:val="none"/>
              </w:rPr>
              <w:t xml:space="preserve"> efficiency gains, COE,</w:t>
            </w:r>
            <w:r>
              <w:rPr>
                <w:rFonts w:ascii="Aptos Narrow" w:eastAsia="Times New Roman" w:hAnsi="Aptos Narrow" w:cs="Times New Roman"/>
                <w:color w:val="000000"/>
                <w:kern w:val="0"/>
                <w:szCs w:val="20"/>
                <w14:ligatures w14:val="none"/>
              </w:rPr>
              <w:t xml:space="preserve"> reduced s</w:t>
            </w:r>
            <w:r w:rsidRPr="00413C4B">
              <w:rPr>
                <w:rFonts w:ascii="Aptos Narrow" w:eastAsia="Times New Roman" w:hAnsi="Aptos Narrow" w:cs="Times New Roman"/>
                <w:color w:val="000000"/>
                <w:kern w:val="0"/>
                <w:szCs w:val="20"/>
                <w14:ligatures w14:val="none"/>
              </w:rPr>
              <w:t>poila</w:t>
            </w:r>
            <w:r>
              <w:rPr>
                <w:rFonts w:ascii="Aptos Narrow" w:eastAsia="Times New Roman" w:hAnsi="Aptos Narrow" w:cs="Times New Roman"/>
                <w:color w:val="000000"/>
                <w:kern w:val="0"/>
                <w:szCs w:val="20"/>
                <w14:ligatures w14:val="none"/>
              </w:rPr>
              <w:t>ge</w:t>
            </w:r>
            <w:r w:rsidRPr="00413C4B">
              <w:rPr>
                <w:rFonts w:ascii="Aptos Narrow" w:eastAsia="Times New Roman" w:hAnsi="Aptos Narrow" w:cs="Times New Roman"/>
                <w:color w:val="000000"/>
                <w:kern w:val="0"/>
                <w:szCs w:val="20"/>
                <w14:ligatures w14:val="none"/>
              </w:rPr>
              <w:t>, NOP improvement</w:t>
            </w:r>
          </w:p>
        </w:tc>
      </w:tr>
      <w:tr w:rsidR="00FC1C0B" w:rsidRPr="00413C4B" w14:paraId="34CA6E3E" w14:textId="77777777" w:rsidTr="00F31945">
        <w:trPr>
          <w:gridAfter w:val="1"/>
          <w:wAfter w:w="2060" w:type="dxa"/>
          <w:trHeight w:val="288"/>
        </w:trPr>
        <w:tc>
          <w:tcPr>
            <w:tcW w:w="3420" w:type="dxa"/>
            <w:tcBorders>
              <w:top w:val="nil"/>
              <w:left w:val="nil"/>
              <w:bottom w:val="nil"/>
              <w:right w:val="nil"/>
            </w:tcBorders>
            <w:noWrap/>
            <w:hideMark/>
          </w:tcPr>
          <w:p w14:paraId="20AD5AF9" w14:textId="77777777" w:rsidR="00FC1C0B" w:rsidRPr="00413C4B" w:rsidRDefault="00FC1C0B" w:rsidP="00FC1C0B">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Cost Avoidance per event</w:t>
            </w:r>
          </w:p>
        </w:tc>
        <w:tc>
          <w:tcPr>
            <w:tcW w:w="270" w:type="dxa"/>
            <w:tcBorders>
              <w:top w:val="nil"/>
              <w:left w:val="nil"/>
              <w:bottom w:val="nil"/>
              <w:right w:val="nil"/>
            </w:tcBorders>
            <w:noWrap/>
            <w:hideMark/>
          </w:tcPr>
          <w:p w14:paraId="3587C36C" w14:textId="77777777" w:rsidR="00FC1C0B" w:rsidRPr="00413C4B" w:rsidRDefault="00FC1C0B" w:rsidP="00FC1C0B">
            <w:pPr>
              <w:spacing w:before="40" w:after="0" w:line="240" w:lineRule="auto"/>
              <w:ind w:firstLineChars="200" w:firstLine="4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3460CC38" w14:textId="3D9165F6"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415000</w:t>
            </w:r>
          </w:p>
        </w:tc>
        <w:tc>
          <w:tcPr>
            <w:tcW w:w="270" w:type="dxa"/>
            <w:tcBorders>
              <w:top w:val="nil"/>
              <w:left w:val="nil"/>
              <w:bottom w:val="nil"/>
              <w:right w:val="nil"/>
            </w:tcBorders>
            <w:noWrap/>
            <w:hideMark/>
          </w:tcPr>
          <w:p w14:paraId="00874CDA"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619BE5C4" w14:textId="62EDDF18"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Average </w:t>
            </w:r>
            <w:r>
              <w:rPr>
                <w:rFonts w:ascii="Aptos Narrow" w:eastAsia="Times New Roman" w:hAnsi="Aptos Narrow" w:cs="Times New Roman"/>
                <w:color w:val="000000"/>
                <w:kern w:val="0"/>
                <w:szCs w:val="20"/>
                <w14:ligatures w14:val="none"/>
              </w:rPr>
              <w:t>of high-impact events</w:t>
            </w:r>
          </w:p>
        </w:tc>
      </w:tr>
      <w:tr w:rsidR="00FC1C0B" w:rsidRPr="00413C4B" w14:paraId="571F58A7" w14:textId="77777777" w:rsidTr="00F31945">
        <w:trPr>
          <w:gridAfter w:val="1"/>
          <w:wAfter w:w="2060" w:type="dxa"/>
          <w:trHeight w:val="288"/>
        </w:trPr>
        <w:tc>
          <w:tcPr>
            <w:tcW w:w="3420" w:type="dxa"/>
            <w:tcBorders>
              <w:top w:val="nil"/>
              <w:left w:val="nil"/>
              <w:bottom w:val="nil"/>
              <w:right w:val="nil"/>
            </w:tcBorders>
            <w:noWrap/>
            <w:hideMark/>
          </w:tcPr>
          <w:p w14:paraId="54F3FDE4" w14:textId="139E86CC"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Annual </w:t>
            </w:r>
            <w:r>
              <w:rPr>
                <w:rFonts w:ascii="Aptos Narrow" w:eastAsia="Times New Roman" w:hAnsi="Aptos Narrow" w:cs="Times New Roman"/>
                <w:color w:val="000000"/>
                <w:kern w:val="0"/>
                <w:szCs w:val="20"/>
                <w14:ligatures w14:val="none"/>
              </w:rPr>
              <w:t xml:space="preserve">Large NPI </w:t>
            </w:r>
            <w:r w:rsidRPr="00413C4B">
              <w:rPr>
                <w:rFonts w:ascii="Aptos Narrow" w:eastAsia="Times New Roman" w:hAnsi="Aptos Narrow" w:cs="Times New Roman"/>
                <w:color w:val="000000"/>
                <w:kern w:val="0"/>
                <w:szCs w:val="20"/>
                <w14:ligatures w14:val="none"/>
              </w:rPr>
              <w:t>Events</w:t>
            </w:r>
          </w:p>
        </w:tc>
        <w:tc>
          <w:tcPr>
            <w:tcW w:w="270" w:type="dxa"/>
            <w:tcBorders>
              <w:top w:val="nil"/>
              <w:left w:val="nil"/>
              <w:bottom w:val="nil"/>
              <w:right w:val="nil"/>
            </w:tcBorders>
            <w:noWrap/>
            <w:hideMark/>
          </w:tcPr>
          <w:p w14:paraId="2F5FE49A" w14:textId="77777777" w:rsidR="00FC1C0B" w:rsidRPr="00413C4B" w:rsidRDefault="00FC1C0B" w:rsidP="00FC1C0B">
            <w:pPr>
              <w:spacing w:before="40" w:after="0" w:line="240" w:lineRule="auto"/>
              <w:ind w:firstLineChars="100" w:firstLine="2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0CD1BA72"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w:t>
            </w:r>
          </w:p>
        </w:tc>
        <w:tc>
          <w:tcPr>
            <w:tcW w:w="270" w:type="dxa"/>
            <w:tcBorders>
              <w:top w:val="nil"/>
              <w:left w:val="nil"/>
              <w:bottom w:val="nil"/>
              <w:right w:val="nil"/>
            </w:tcBorders>
            <w:noWrap/>
            <w:hideMark/>
          </w:tcPr>
          <w:p w14:paraId="64EA5A5D"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0D998F69"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NPI/Catalog additions and product line unlocks.</w:t>
            </w:r>
          </w:p>
        </w:tc>
      </w:tr>
      <w:tr w:rsidR="00FC1C0B" w:rsidRPr="00413C4B" w14:paraId="2CD8054E" w14:textId="77777777" w:rsidTr="00F31945">
        <w:trPr>
          <w:gridAfter w:val="1"/>
          <w:wAfter w:w="2060" w:type="dxa"/>
          <w:trHeight w:val="288"/>
        </w:trPr>
        <w:tc>
          <w:tcPr>
            <w:tcW w:w="3420" w:type="dxa"/>
            <w:tcBorders>
              <w:top w:val="nil"/>
              <w:left w:val="nil"/>
              <w:bottom w:val="nil"/>
              <w:right w:val="nil"/>
            </w:tcBorders>
            <w:noWrap/>
            <w:hideMark/>
          </w:tcPr>
          <w:p w14:paraId="6898F0A2" w14:textId="77777777" w:rsidR="00FC1C0B" w:rsidRPr="00413C4B" w:rsidRDefault="00FC1C0B" w:rsidP="00FC1C0B">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Incremental SKU revenue</w:t>
            </w:r>
          </w:p>
        </w:tc>
        <w:tc>
          <w:tcPr>
            <w:tcW w:w="270" w:type="dxa"/>
            <w:tcBorders>
              <w:top w:val="nil"/>
              <w:left w:val="nil"/>
              <w:bottom w:val="nil"/>
              <w:right w:val="nil"/>
            </w:tcBorders>
            <w:noWrap/>
            <w:hideMark/>
          </w:tcPr>
          <w:p w14:paraId="4E545B41" w14:textId="77777777" w:rsidR="00FC1C0B" w:rsidRPr="00413C4B" w:rsidRDefault="00FC1C0B" w:rsidP="00FC1C0B">
            <w:pPr>
              <w:spacing w:before="40" w:after="0" w:line="240" w:lineRule="auto"/>
              <w:ind w:firstLineChars="200" w:firstLine="4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153DB5BE"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45000</w:t>
            </w:r>
          </w:p>
        </w:tc>
        <w:tc>
          <w:tcPr>
            <w:tcW w:w="270" w:type="dxa"/>
            <w:tcBorders>
              <w:top w:val="nil"/>
              <w:left w:val="nil"/>
              <w:bottom w:val="nil"/>
              <w:right w:val="nil"/>
            </w:tcBorders>
            <w:noWrap/>
            <w:hideMark/>
          </w:tcPr>
          <w:p w14:paraId="7B71E76D"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BC843A5"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FC1C0B" w:rsidRPr="00413C4B" w14:paraId="0B917CA9" w14:textId="77777777" w:rsidTr="00F31945">
        <w:trPr>
          <w:gridAfter w:val="1"/>
          <w:wAfter w:w="2060" w:type="dxa"/>
          <w:trHeight w:val="288"/>
        </w:trPr>
        <w:tc>
          <w:tcPr>
            <w:tcW w:w="3420" w:type="dxa"/>
            <w:tcBorders>
              <w:top w:val="nil"/>
              <w:left w:val="nil"/>
              <w:bottom w:val="double" w:sz="4" w:space="0" w:color="auto"/>
              <w:right w:val="nil"/>
            </w:tcBorders>
            <w:noWrap/>
            <w:hideMark/>
          </w:tcPr>
          <w:p w14:paraId="76505E8B" w14:textId="082E8339"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Impact rate of</w:t>
            </w:r>
            <w:r>
              <w:rPr>
                <w:rFonts w:ascii="Aptos Narrow" w:eastAsia="Times New Roman" w:hAnsi="Aptos Narrow" w:cs="Times New Roman"/>
                <w:color w:val="000000"/>
                <w:kern w:val="0"/>
                <w:szCs w:val="20"/>
                <w14:ligatures w14:val="none"/>
              </w:rPr>
              <w:t xml:space="preserve"> opportunity cost + COE</w:t>
            </w:r>
          </w:p>
        </w:tc>
        <w:tc>
          <w:tcPr>
            <w:tcW w:w="270" w:type="dxa"/>
            <w:tcBorders>
              <w:top w:val="nil"/>
              <w:left w:val="nil"/>
              <w:bottom w:val="double" w:sz="4" w:space="0" w:color="auto"/>
              <w:right w:val="nil"/>
            </w:tcBorders>
            <w:noWrap/>
            <w:hideMark/>
          </w:tcPr>
          <w:p w14:paraId="0447F934"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582FF95C" w14:textId="5FBD86C1"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w:t>
            </w:r>
            <w:r>
              <w:rPr>
                <w:rFonts w:ascii="Aptos Narrow" w:eastAsia="Times New Roman" w:hAnsi="Aptos Narrow" w:cs="Times New Roman"/>
                <w:color w:val="000000"/>
                <w:kern w:val="0"/>
                <w:szCs w:val="20"/>
                <w14:ligatures w14:val="none"/>
              </w:rPr>
              <w:t>0625</w:t>
            </w:r>
          </w:p>
        </w:tc>
        <w:tc>
          <w:tcPr>
            <w:tcW w:w="270" w:type="dxa"/>
            <w:tcBorders>
              <w:top w:val="nil"/>
              <w:left w:val="nil"/>
              <w:bottom w:val="nil"/>
              <w:right w:val="nil"/>
            </w:tcBorders>
            <w:noWrap/>
            <w:hideMark/>
          </w:tcPr>
          <w:p w14:paraId="437E2479"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94A1EEE" w14:textId="7BDD012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Avg impact of CPFR activities – derived from weekly task proportion</w:t>
            </w:r>
          </w:p>
        </w:tc>
      </w:tr>
      <w:tr w:rsidR="00FC1C0B" w:rsidRPr="00413C4B" w14:paraId="588FBDA5"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7E2C2707" w14:textId="5A42AF89"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7EE2430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493378AE" w14:textId="0D774FE2"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339375</w:t>
            </w:r>
          </w:p>
        </w:tc>
        <w:tc>
          <w:tcPr>
            <w:tcW w:w="270" w:type="dxa"/>
            <w:tcBorders>
              <w:top w:val="nil"/>
              <w:left w:val="nil"/>
              <w:bottom w:val="nil"/>
              <w:right w:val="nil"/>
            </w:tcBorders>
            <w:noWrap/>
            <w:vAlign w:val="bottom"/>
            <w:hideMark/>
          </w:tcPr>
          <w:p w14:paraId="56A98A25"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1258C9A"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r w:rsidR="00FC1C0B" w:rsidRPr="00413C4B" w14:paraId="441C73DA" w14:textId="77777777" w:rsidTr="00F31945">
        <w:trPr>
          <w:gridAfter w:val="1"/>
          <w:wAfter w:w="2060" w:type="dxa"/>
          <w:trHeight w:val="288"/>
        </w:trPr>
        <w:tc>
          <w:tcPr>
            <w:tcW w:w="3420" w:type="dxa"/>
            <w:tcBorders>
              <w:top w:val="nil"/>
              <w:left w:val="nil"/>
              <w:bottom w:val="nil"/>
              <w:right w:val="nil"/>
            </w:tcBorders>
            <w:noWrap/>
            <w:vAlign w:val="bottom"/>
            <w:hideMark/>
          </w:tcPr>
          <w:p w14:paraId="1D6B4AA5"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381B5E67"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0D0173AE"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BBFA106"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5191093E"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r w:rsidR="00FC1C0B" w:rsidRPr="00413C4B" w14:paraId="05D1D897" w14:textId="77777777" w:rsidTr="00F31945">
        <w:trPr>
          <w:trHeight w:val="288"/>
        </w:trPr>
        <w:tc>
          <w:tcPr>
            <w:tcW w:w="12680" w:type="dxa"/>
            <w:gridSpan w:val="6"/>
            <w:tcBorders>
              <w:top w:val="nil"/>
              <w:left w:val="nil"/>
              <w:bottom w:val="nil"/>
              <w:right w:val="nil"/>
            </w:tcBorders>
            <w:noWrap/>
            <w:vAlign w:val="bottom"/>
            <w:hideMark/>
          </w:tcPr>
          <w:p w14:paraId="1295545B"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 Strategic Growth Enablement</w:t>
            </w:r>
          </w:p>
        </w:tc>
      </w:tr>
      <w:tr w:rsidR="00FC1C0B" w:rsidRPr="00413C4B" w14:paraId="68CEC4D7"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C7FD1A5"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E9A75F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AD5CF3"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3D3C1A7"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6DB8E24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FC1C0B" w:rsidRPr="00413C4B" w14:paraId="5C8426F7" w14:textId="77777777" w:rsidTr="00F31945">
        <w:trPr>
          <w:gridAfter w:val="1"/>
          <w:wAfter w:w="2060" w:type="dxa"/>
          <w:trHeight w:val="288"/>
        </w:trPr>
        <w:tc>
          <w:tcPr>
            <w:tcW w:w="3420" w:type="dxa"/>
            <w:tcBorders>
              <w:top w:val="nil"/>
              <w:left w:val="nil"/>
              <w:bottom w:val="nil"/>
              <w:right w:val="nil"/>
            </w:tcBorders>
            <w:noWrap/>
            <w:vAlign w:val="bottom"/>
            <w:hideMark/>
          </w:tcPr>
          <w:p w14:paraId="5F626BB5"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Analytic Opportunity</w:t>
            </w:r>
          </w:p>
        </w:tc>
        <w:tc>
          <w:tcPr>
            <w:tcW w:w="270" w:type="dxa"/>
            <w:tcBorders>
              <w:top w:val="nil"/>
              <w:left w:val="nil"/>
              <w:bottom w:val="nil"/>
              <w:right w:val="nil"/>
            </w:tcBorders>
            <w:noWrap/>
            <w:vAlign w:val="bottom"/>
            <w:hideMark/>
          </w:tcPr>
          <w:p w14:paraId="5DCAE567"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4BCF9AC7"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150000</w:t>
            </w:r>
          </w:p>
        </w:tc>
        <w:tc>
          <w:tcPr>
            <w:tcW w:w="270" w:type="dxa"/>
            <w:tcBorders>
              <w:top w:val="nil"/>
              <w:left w:val="nil"/>
              <w:bottom w:val="nil"/>
              <w:right w:val="nil"/>
            </w:tcBorders>
            <w:noWrap/>
            <w:vAlign w:val="bottom"/>
            <w:hideMark/>
          </w:tcPr>
          <w:p w14:paraId="76718F85"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9BC93D" w14:textId="130C111D"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future analytics opportunities</w:t>
            </w:r>
          </w:p>
        </w:tc>
      </w:tr>
      <w:tr w:rsidR="00FC1C0B" w:rsidRPr="00413C4B" w14:paraId="03BC4A30" w14:textId="77777777" w:rsidTr="00F31945">
        <w:trPr>
          <w:gridAfter w:val="1"/>
          <w:wAfter w:w="2060" w:type="dxa"/>
          <w:trHeight w:val="288"/>
        </w:trPr>
        <w:tc>
          <w:tcPr>
            <w:tcW w:w="3420" w:type="dxa"/>
            <w:tcBorders>
              <w:top w:val="nil"/>
              <w:left w:val="nil"/>
              <w:bottom w:val="nil"/>
              <w:right w:val="nil"/>
            </w:tcBorders>
            <w:noWrap/>
            <w:vAlign w:val="bottom"/>
            <w:hideMark/>
          </w:tcPr>
          <w:p w14:paraId="54D7AAAB"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AI/ML Opportunity </w:t>
            </w:r>
          </w:p>
        </w:tc>
        <w:tc>
          <w:tcPr>
            <w:tcW w:w="270" w:type="dxa"/>
            <w:tcBorders>
              <w:top w:val="nil"/>
              <w:left w:val="nil"/>
              <w:bottom w:val="nil"/>
              <w:right w:val="nil"/>
            </w:tcBorders>
            <w:noWrap/>
            <w:vAlign w:val="bottom"/>
            <w:hideMark/>
          </w:tcPr>
          <w:p w14:paraId="70BB5343"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D7615D1"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375000</w:t>
            </w:r>
          </w:p>
        </w:tc>
        <w:tc>
          <w:tcPr>
            <w:tcW w:w="270" w:type="dxa"/>
            <w:tcBorders>
              <w:top w:val="nil"/>
              <w:left w:val="nil"/>
              <w:bottom w:val="nil"/>
              <w:right w:val="nil"/>
            </w:tcBorders>
            <w:noWrap/>
            <w:vAlign w:val="bottom"/>
            <w:hideMark/>
          </w:tcPr>
          <w:p w14:paraId="162FE319"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627E656" w14:textId="20888DE1"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future AI/ML opportunities</w:t>
            </w:r>
          </w:p>
        </w:tc>
      </w:tr>
      <w:tr w:rsidR="00FC1C0B" w:rsidRPr="00413C4B" w14:paraId="7F276B70" w14:textId="77777777" w:rsidTr="00F31945">
        <w:trPr>
          <w:gridAfter w:val="1"/>
          <w:wAfter w:w="2060" w:type="dxa"/>
          <w:trHeight w:val="288"/>
        </w:trPr>
        <w:tc>
          <w:tcPr>
            <w:tcW w:w="3420" w:type="dxa"/>
            <w:tcBorders>
              <w:top w:val="nil"/>
              <w:left w:val="nil"/>
              <w:bottom w:val="double" w:sz="4" w:space="0" w:color="auto"/>
              <w:right w:val="nil"/>
            </w:tcBorders>
            <w:noWrap/>
            <w:vAlign w:val="bottom"/>
            <w:hideMark/>
          </w:tcPr>
          <w:p w14:paraId="6976B7DA"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Lean / 6σ</w:t>
            </w:r>
          </w:p>
        </w:tc>
        <w:tc>
          <w:tcPr>
            <w:tcW w:w="270" w:type="dxa"/>
            <w:tcBorders>
              <w:top w:val="nil"/>
              <w:left w:val="nil"/>
              <w:bottom w:val="double" w:sz="4" w:space="0" w:color="auto"/>
              <w:right w:val="nil"/>
            </w:tcBorders>
            <w:noWrap/>
            <w:vAlign w:val="bottom"/>
            <w:hideMark/>
          </w:tcPr>
          <w:p w14:paraId="0A780AAE"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3A3E5894"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100000</w:t>
            </w:r>
          </w:p>
        </w:tc>
        <w:tc>
          <w:tcPr>
            <w:tcW w:w="270" w:type="dxa"/>
            <w:tcBorders>
              <w:top w:val="nil"/>
              <w:left w:val="nil"/>
              <w:bottom w:val="nil"/>
              <w:right w:val="nil"/>
            </w:tcBorders>
            <w:noWrap/>
            <w:vAlign w:val="bottom"/>
            <w:hideMark/>
          </w:tcPr>
          <w:p w14:paraId="04D8F56B"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124BC092" w14:textId="46216981"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 future Lean / 6σ opportunities</w:t>
            </w:r>
          </w:p>
        </w:tc>
      </w:tr>
      <w:tr w:rsidR="00FC1C0B" w:rsidRPr="00413C4B" w14:paraId="6AC24F2C"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09FB8AC8" w14:textId="0A0651A3"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Cap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 Conversion</w:t>
            </w:r>
          </w:p>
        </w:tc>
        <w:tc>
          <w:tcPr>
            <w:tcW w:w="270" w:type="dxa"/>
            <w:tcBorders>
              <w:top w:val="double" w:sz="4" w:space="0" w:color="auto"/>
              <w:left w:val="nil"/>
              <w:bottom w:val="nil"/>
              <w:right w:val="nil"/>
            </w:tcBorders>
            <w:noWrap/>
            <w:vAlign w:val="bottom"/>
            <w:hideMark/>
          </w:tcPr>
          <w:p w14:paraId="1207D973"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522DCC7F"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625000</w:t>
            </w:r>
          </w:p>
        </w:tc>
        <w:tc>
          <w:tcPr>
            <w:tcW w:w="270" w:type="dxa"/>
            <w:tcBorders>
              <w:top w:val="nil"/>
              <w:left w:val="nil"/>
              <w:bottom w:val="nil"/>
              <w:right w:val="nil"/>
            </w:tcBorders>
            <w:noWrap/>
            <w:vAlign w:val="bottom"/>
            <w:hideMark/>
          </w:tcPr>
          <w:p w14:paraId="420AF50F"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96820E2"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bl>
    <w:p w14:paraId="0CE947E9" w14:textId="77777777" w:rsidR="005642B2" w:rsidRDefault="005642B2">
      <w:pPr>
        <w:spacing w:before="0" w:after="160" w:line="278" w:lineRule="auto"/>
        <w:rPr>
          <w:rFonts w:asciiTheme="majorHAnsi" w:eastAsiaTheme="majorEastAsia" w:hAnsiTheme="majorHAnsi" w:cstheme="majorBidi"/>
          <w:b/>
          <w:sz w:val="22"/>
          <w:szCs w:val="40"/>
        </w:rPr>
      </w:pPr>
      <w:r>
        <w:br w:type="page"/>
      </w:r>
    </w:p>
    <w:p w14:paraId="08675B5A" w14:textId="5A0F02BF" w:rsidR="00E2756F" w:rsidRPr="00E2756F" w:rsidRDefault="00B951AE" w:rsidP="00E2756F">
      <w:pPr>
        <w:pStyle w:val="Heading1"/>
      </w:pPr>
      <w:r>
        <w:lastRenderedPageBreak/>
        <w:t>Appendix 2: Case Studies</w:t>
      </w:r>
    </w:p>
    <w:p w14:paraId="002832D0" w14:textId="3CD77587" w:rsidR="00E2756F" w:rsidRPr="00E2756F" w:rsidRDefault="00E2756F" w:rsidP="00E2756F">
      <w:pPr>
        <w:pStyle w:val="Heading2"/>
      </w:pPr>
      <w:r w:rsidRPr="00E2756F">
        <w:t>Survey Methodology &amp; Scope</w:t>
      </w:r>
    </w:p>
    <w:p w14:paraId="4A97ACE8" w14:textId="6BACEB36" w:rsidR="00E2756F" w:rsidRPr="003C2571" w:rsidRDefault="00E2756F" w:rsidP="00E2756F">
      <w:r w:rsidRPr="00E2756F">
        <w:t>Subject matter expert interviews were conducted with senior In-Stock Managers managing relationships with major</w:t>
      </w:r>
      <w:r w:rsidR="003C2571">
        <w:t xml:space="preserve"> </w:t>
      </w:r>
      <w:r w:rsidR="005642B2">
        <w:t>vendor</w:t>
      </w:r>
      <w:r w:rsidRPr="00E2756F">
        <w:t>s and direct distributors. The ISMs surveyed collectively represent substantial CPFR program scope spanning</w:t>
      </w:r>
      <w:r w:rsidR="003C2571">
        <w:t xml:space="preserve"> a </w:t>
      </w:r>
      <w:r w:rsidR="00C21495">
        <w:t>substantial portion</w:t>
      </w:r>
      <w:r w:rsidR="003C2571">
        <w:t xml:space="preserve"> of</w:t>
      </w:r>
      <w:r w:rsidR="005642B2">
        <w:t xml:space="preserve"> COGS and</w:t>
      </w:r>
      <w:r w:rsidR="003C2571">
        <w:t xml:space="preserve"> revenue</w:t>
      </w:r>
      <w:r w:rsidRPr="00E2756F">
        <w:t>. Interviews focused on quantifying operational burden, identifying data consistency challenges, and documenting vendor feedback regarding access preferences and collaborative planning friction.</w:t>
      </w:r>
    </w:p>
    <w:p w14:paraId="3A0ECB87" w14:textId="77777777" w:rsidR="003C2571" w:rsidRDefault="00E2756F" w:rsidP="003C2571">
      <w:pPr>
        <w:pStyle w:val="Heading2"/>
      </w:pPr>
      <w:r w:rsidRPr="00E2756F">
        <w:t>1. Manual Coordination Overhead &amp; Operational Burden</w:t>
      </w:r>
    </w:p>
    <w:p w14:paraId="3E10A060" w14:textId="48A0CA48" w:rsidR="00E2756F" w:rsidRPr="003C2571" w:rsidRDefault="00E2756F" w:rsidP="003C2571">
      <w:pPr>
        <w:pStyle w:val="Heading3"/>
        <w:rPr>
          <w:sz w:val="22"/>
          <w:szCs w:val="32"/>
        </w:rPr>
      </w:pPr>
      <w:r w:rsidRPr="00E2756F">
        <w:t>Time Investment in Data Preparation and Validation</w:t>
      </w:r>
    </w:p>
    <w:p w14:paraId="59B97902" w14:textId="77777777" w:rsidR="003C2571" w:rsidRDefault="00E2756F" w:rsidP="00E2756F">
      <w:pPr>
        <w:rPr>
          <w:szCs w:val="20"/>
        </w:rPr>
      </w:pPr>
      <w:r w:rsidRPr="00E2756F">
        <w:rPr>
          <w:szCs w:val="20"/>
        </w:rPr>
        <w:t>ISMs report consistent weekly time burdens associated with CPFR data preparation, validation, and correction of errors (COE):</w:t>
      </w:r>
    </w:p>
    <w:p w14:paraId="0CC2599C" w14:textId="49C42276" w:rsidR="003C2571" w:rsidRDefault="00E2756F" w:rsidP="003C2571">
      <w:pPr>
        <w:pStyle w:val="ListParagraph"/>
        <w:numPr>
          <w:ilvl w:val="0"/>
          <w:numId w:val="1"/>
        </w:numPr>
        <w:tabs>
          <w:tab w:val="clear" w:pos="720"/>
        </w:tabs>
        <w:ind w:left="270" w:hanging="180"/>
        <w:rPr>
          <w:szCs w:val="20"/>
        </w:rPr>
      </w:pPr>
      <w:r w:rsidRPr="003C2571">
        <w:rPr>
          <w:b/>
          <w:bCs/>
          <w:szCs w:val="20"/>
        </w:rPr>
        <w:t>1-2 hours per week</w:t>
      </w:r>
      <w:r w:rsidRPr="003C2571">
        <w:rPr>
          <w:szCs w:val="20"/>
        </w:rPr>
        <w:t xml:space="preserve">: Typical for relationships with stable data flows and mature </w:t>
      </w:r>
      <w:r w:rsidR="005642B2">
        <w:rPr>
          <w:szCs w:val="20"/>
        </w:rPr>
        <w:t xml:space="preserve">current-state </w:t>
      </w:r>
      <w:r w:rsidRPr="003C2571">
        <w:rPr>
          <w:szCs w:val="20"/>
        </w:rPr>
        <w:t>CPFR processes</w:t>
      </w:r>
    </w:p>
    <w:p w14:paraId="20D729CC" w14:textId="77777777" w:rsidR="003C2571" w:rsidRDefault="00E2756F" w:rsidP="003C2571">
      <w:pPr>
        <w:pStyle w:val="ListParagraph"/>
        <w:numPr>
          <w:ilvl w:val="0"/>
          <w:numId w:val="1"/>
        </w:numPr>
        <w:tabs>
          <w:tab w:val="clear" w:pos="720"/>
        </w:tabs>
        <w:ind w:left="270" w:hanging="180"/>
        <w:rPr>
          <w:szCs w:val="20"/>
        </w:rPr>
      </w:pPr>
      <w:r w:rsidRPr="003C2571">
        <w:rPr>
          <w:b/>
          <w:bCs/>
          <w:szCs w:val="20"/>
        </w:rPr>
        <w:t>2-3 hours per week</w:t>
      </w:r>
      <w:r w:rsidRPr="003C2571">
        <w:rPr>
          <w:szCs w:val="20"/>
        </w:rPr>
        <w:t>: Common where improved consistency and reduced COE would yield measurable impact</w:t>
      </w:r>
    </w:p>
    <w:p w14:paraId="7B39061B" w14:textId="77777777" w:rsidR="003C2571" w:rsidRDefault="00E2756F" w:rsidP="00E2756F">
      <w:pPr>
        <w:pStyle w:val="ListParagraph"/>
        <w:numPr>
          <w:ilvl w:val="0"/>
          <w:numId w:val="1"/>
        </w:numPr>
        <w:tabs>
          <w:tab w:val="clear" w:pos="720"/>
        </w:tabs>
        <w:ind w:left="270" w:hanging="180"/>
        <w:rPr>
          <w:szCs w:val="20"/>
        </w:rPr>
      </w:pPr>
      <w:r w:rsidRPr="003C2571">
        <w:rPr>
          <w:b/>
          <w:bCs/>
          <w:szCs w:val="20"/>
        </w:rPr>
        <w:t>5+ hours per week</w:t>
      </w:r>
      <w:r w:rsidRPr="003C2571">
        <w:rPr>
          <w:szCs w:val="20"/>
        </w:rPr>
        <w:t>: Reported in cases where email-based data exchange creates unnecessary churn and where CPFR consistency, availability, or COE issues compound</w:t>
      </w:r>
    </w:p>
    <w:p w14:paraId="7145E3E1" w14:textId="5E532505" w:rsidR="00E2756F" w:rsidRPr="00E2756F" w:rsidRDefault="00E2756F" w:rsidP="003C2571">
      <w:pPr>
        <w:ind w:left="90"/>
        <w:rPr>
          <w:szCs w:val="20"/>
        </w:rPr>
      </w:pPr>
      <w:r w:rsidRPr="003C2571">
        <w:rPr>
          <w:szCs w:val="20"/>
        </w:rPr>
        <w:t>These time investments represent capacity diverted from strategic vendor collaboration, root-cause analysis, and proactive planning work.</w:t>
      </w:r>
    </w:p>
    <w:p w14:paraId="21441CF6" w14:textId="1FF9CC00" w:rsidR="00E2756F" w:rsidRPr="00E2756F" w:rsidRDefault="00E2756F" w:rsidP="003C2571">
      <w:pPr>
        <w:pStyle w:val="Heading3"/>
      </w:pPr>
      <w:r w:rsidRPr="00E2756F">
        <w:t>End-of-Period Escalations</w:t>
      </w:r>
    </w:p>
    <w:p w14:paraId="23D3EF36" w14:textId="23BD0D05" w:rsidR="00E2756F" w:rsidRPr="00E2756F" w:rsidRDefault="00E2756F" w:rsidP="003C2571">
      <w:r w:rsidRPr="00E2756F">
        <w:t>Transportation and MOQ</w:t>
      </w:r>
      <w:r w:rsidR="005642B2">
        <w:t xml:space="preserve"> mismatch</w:t>
      </w:r>
      <w:r w:rsidRPr="00E2756F">
        <w:t xml:space="preserve"> issues create predictable escalation patterns. ISMs report spending </w:t>
      </w:r>
      <w:r w:rsidR="003C2571">
        <w:t xml:space="preserve">up to </w:t>
      </w:r>
      <w:r w:rsidRPr="003C2571">
        <w:rPr>
          <w:b/>
          <w:bCs/>
        </w:rPr>
        <w:t>2 days out of</w:t>
      </w:r>
      <w:r w:rsidR="005642B2">
        <w:rPr>
          <w:b/>
          <w:bCs/>
        </w:rPr>
        <w:t xml:space="preserve"> </w:t>
      </w:r>
      <w:r w:rsidR="001E3B13">
        <w:rPr>
          <w:b/>
          <w:bCs/>
        </w:rPr>
        <w:t>certain</w:t>
      </w:r>
      <w:r w:rsidRPr="003C2571">
        <w:rPr>
          <w:b/>
          <w:bCs/>
        </w:rPr>
        <w:t xml:space="preserve"> week</w:t>
      </w:r>
      <w:r w:rsidR="005642B2">
        <w:rPr>
          <w:b/>
          <w:bCs/>
        </w:rPr>
        <w:t>s</w:t>
      </w:r>
      <w:r w:rsidRPr="00E2756F">
        <w:t xml:space="preserve"> rectifying MOQ and transportation constraints that surface at period boundaries (month-end, quarter-end). While improving visibility around these issues extends beyond the initial CPFR platform scope, the frequency and impact of these escalations underscore the value of incremental feature </w:t>
      </w:r>
      <w:r w:rsidR="001E3B13">
        <w:t>that can be added</w:t>
      </w:r>
      <w:r w:rsidRPr="00E2756F">
        <w:t xml:space="preserve"> once foundational portal infrastructure is </w:t>
      </w:r>
      <w:r w:rsidR="001E3B13">
        <w:t>in place</w:t>
      </w:r>
      <w:r w:rsidRPr="00E2756F">
        <w:t>.</w:t>
      </w:r>
    </w:p>
    <w:p w14:paraId="7B8483F0" w14:textId="7D5551FE" w:rsidR="00E2756F" w:rsidRPr="00E2756F" w:rsidRDefault="00E2756F" w:rsidP="003C2571">
      <w:pPr>
        <w:pStyle w:val="Heading3"/>
      </w:pPr>
      <w:r w:rsidRPr="00E2756F">
        <w:t>Discontinued SKU Management</w:t>
      </w:r>
    </w:p>
    <w:p w14:paraId="25C68BB2" w14:textId="75E1C902" w:rsidR="00E2756F" w:rsidRPr="00E2756F" w:rsidRDefault="00E2756F" w:rsidP="003C2571">
      <w:r w:rsidRPr="00E2756F">
        <w:t xml:space="preserve">Substantial ISM time is consumed rectifying discontinued SKU status and cleanup. This represents </w:t>
      </w:r>
      <w:r w:rsidR="001E3B13">
        <w:t xml:space="preserve">a </w:t>
      </w:r>
      <w:r w:rsidRPr="00E2756F">
        <w:t>recurring</w:t>
      </w:r>
      <w:r w:rsidR="001E3B13">
        <w:t xml:space="preserve"> risk of pricing mismatches and</w:t>
      </w:r>
      <w:r w:rsidRPr="00E2756F">
        <w:t xml:space="preserve"> operational friction that could be streamlined through improved data visibility and self-service capabilities.</w:t>
      </w:r>
    </w:p>
    <w:p w14:paraId="4DE6D142" w14:textId="052FE745" w:rsidR="00E2756F" w:rsidRPr="00E2756F" w:rsidRDefault="00E2756F" w:rsidP="003C2571">
      <w:pPr>
        <w:pStyle w:val="Heading2"/>
      </w:pPr>
      <w:r w:rsidRPr="00E2756F">
        <w:t>2. Data Visibility &amp; Consistency Challenges</w:t>
      </w:r>
    </w:p>
    <w:p w14:paraId="53576D5B" w14:textId="411D2FDA" w:rsidR="00E2756F" w:rsidRPr="00E2756F" w:rsidRDefault="001E3B13" w:rsidP="003C2571">
      <w:pPr>
        <w:pStyle w:val="Heading3"/>
      </w:pPr>
      <w:r>
        <w:t>Non-Optimal Placement</w:t>
      </w:r>
      <w:r w:rsidR="00E2756F" w:rsidRPr="00E2756F">
        <w:t xml:space="preserve"> (NOP) Visibility</w:t>
      </w:r>
    </w:p>
    <w:p w14:paraId="32D20D84" w14:textId="0708E020" w:rsidR="00E2756F" w:rsidRPr="00E2756F" w:rsidRDefault="00E2756F" w:rsidP="00C373ED">
      <w:r w:rsidRPr="00E2756F">
        <w:t>NOP data requires enhanced visibility with daily (or more frequent) cadence to effectively track when corrections have been absorbed into planning cycles. Current weekly cadence creates delays in understanding whether corrective actions have taken effect, extending the feedback loop between issue identification validation</w:t>
      </w:r>
      <w:r w:rsidR="001E3B13">
        <w:t>, and further actions</w:t>
      </w:r>
      <w:r w:rsidRPr="00E2756F">
        <w:t>.</w:t>
      </w:r>
    </w:p>
    <w:p w14:paraId="3A6B7D64" w14:textId="11F9184E" w:rsidR="00E2756F" w:rsidRPr="00E2756F" w:rsidRDefault="00E2756F" w:rsidP="00C373ED">
      <w:pPr>
        <w:pStyle w:val="Heading3"/>
      </w:pPr>
      <w:r w:rsidRPr="00E2756F">
        <w:t>Future Availability Date (FAD) Lists</w:t>
      </w:r>
    </w:p>
    <w:p w14:paraId="0F328DDF" w14:textId="20E86970" w:rsidR="00E2756F" w:rsidRPr="00E2756F" w:rsidRDefault="00E2756F" w:rsidP="00E2756F">
      <w:pPr>
        <w:rPr>
          <w:szCs w:val="20"/>
        </w:rPr>
      </w:pPr>
      <w:r w:rsidRPr="00E2756F">
        <w:rPr>
          <w:szCs w:val="20"/>
        </w:rPr>
        <w:t>FAD lists signal to ordering automation when to pause orders until a specified future date. These require broader visibility—preferably real-time—to ensure updates are reflected immediately. Current fragmented visibility creates coordination gaps between vendor manufacturing schedules and Chewy ordering systems.</w:t>
      </w:r>
    </w:p>
    <w:p w14:paraId="464F3165" w14:textId="39E3A3B5" w:rsidR="00E2756F" w:rsidRPr="00C373ED" w:rsidRDefault="00E2756F" w:rsidP="00C373ED">
      <w:pPr>
        <w:pStyle w:val="Heading3"/>
      </w:pPr>
      <w:r w:rsidRPr="00E2756F">
        <w:t>New Item Forecasting</w:t>
      </w:r>
    </w:p>
    <w:p w14:paraId="6726BEE3" w14:textId="6FBBAC27" w:rsidR="00E2756F" w:rsidRPr="00E2756F" w:rsidRDefault="00E2756F" w:rsidP="00C373ED">
      <w:r w:rsidRPr="00E2756F">
        <w:t xml:space="preserve">New product introductions </w:t>
      </w:r>
      <w:r w:rsidR="001D1C59">
        <w:t xml:space="preserve">often </w:t>
      </w:r>
      <w:r w:rsidRPr="00E2756F">
        <w:t>require</w:t>
      </w:r>
      <w:r w:rsidR="001D1C59">
        <w:t xml:space="preserve"> off-cadence</w:t>
      </w:r>
      <w:r w:rsidRPr="00E2756F">
        <w:t xml:space="preserve"> forecast </w:t>
      </w:r>
      <w:r w:rsidR="001D1C59">
        <w:t>updates and more frequent refreshes</w:t>
      </w:r>
      <w:r w:rsidRPr="00E2756F">
        <w:t>. Typical NPI forecasting takes multiple cycles to stabilize, creating early-stage planning friction. While CPFR data access improvements may not directly accelerate NPI forecast generation, platform capabilities can support faster distribution once forecasts are available.</w:t>
      </w:r>
    </w:p>
    <w:p w14:paraId="4F7B742E" w14:textId="20CE9BE0" w:rsidR="00E2756F" w:rsidRPr="00E2756F" w:rsidRDefault="00E2756F" w:rsidP="00C373ED">
      <w:pPr>
        <w:pStyle w:val="Heading3"/>
      </w:pPr>
      <w:r w:rsidRPr="00E2756F">
        <w:lastRenderedPageBreak/>
        <w:t>Forecast Mismatch Thresholds &amp; Promotional Tensions</w:t>
      </w:r>
    </w:p>
    <w:p w14:paraId="31FB4B33" w14:textId="5127A877" w:rsidR="00E2756F" w:rsidRPr="00E2756F" w:rsidRDefault="00E2756F" w:rsidP="00C373ED">
      <w:r w:rsidRPr="00E2756F">
        <w:t>Forecast accuracy thresholds create significant financial exposure when misaligned with promotional sales goals. Threshold misses directly impact vendor payback guarantees, creating incentives that can drive inefficient inventory decisions.</w:t>
      </w:r>
    </w:p>
    <w:p w14:paraId="319DC27C" w14:textId="303332E6" w:rsidR="00E2756F" w:rsidRPr="00E2756F" w:rsidRDefault="00C373ED" w:rsidP="00C373ED">
      <w:r>
        <w:t>Past</w:t>
      </w:r>
      <w:r w:rsidR="00E2756F" w:rsidRPr="00E2756F">
        <w:t xml:space="preserve"> instance</w:t>
      </w:r>
      <w:r>
        <w:t>s</w:t>
      </w:r>
      <w:r w:rsidR="00E2756F" w:rsidRPr="00E2756F">
        <w:t xml:space="preserve"> of threshold-driven forecast mismatch </w:t>
      </w:r>
      <w:r w:rsidR="001D1C59">
        <w:t xml:space="preserve">have </w:t>
      </w:r>
      <w:r w:rsidR="00E2756F" w:rsidRPr="00E2756F">
        <w:t xml:space="preserve">resulted in approximately </w:t>
      </w:r>
      <w:r w:rsidR="00E2756F" w:rsidRPr="001D1C59">
        <w:rPr>
          <w:b/>
          <w:bCs/>
        </w:rPr>
        <w:t>$5 million in unwarranted buy-up</w:t>
      </w:r>
      <w:r w:rsidR="00E2756F" w:rsidRPr="00E2756F">
        <w:t xml:space="preserve"> due to unclear visibility into forecast accuracy relative to promotional expectations. Based on analysis of recurring threshold miss patterns, this issue class represents an estimated </w:t>
      </w:r>
      <w:r w:rsidR="00E2756F" w:rsidRPr="001D1C59">
        <w:rPr>
          <w:b/>
          <w:bCs/>
        </w:rPr>
        <w:t>$15 million annually</w:t>
      </w:r>
      <w:r w:rsidR="00E2756F" w:rsidRPr="00E2756F">
        <w:t xml:space="preserve"> in avoidable cost if not corrected through improved data visibility and governance.</w:t>
      </w:r>
    </w:p>
    <w:p w14:paraId="0C3ACBAB" w14:textId="77777777" w:rsidR="00E2756F" w:rsidRPr="00E2756F" w:rsidRDefault="00E2756F" w:rsidP="00C373ED">
      <w:r w:rsidRPr="00E2756F">
        <w:t>The structural tension between promotional incentives (which increase buy-up pressure) and in-stock efficiency goals (which prioritize inventory optimization) creates recurring exposure. Major vendor relationships experience this dynamic at least annually, making improved forecast visibility and consistent data sharing critical to reducing financial waste.</w:t>
      </w:r>
    </w:p>
    <w:p w14:paraId="0CF7AB1E" w14:textId="5C24465C" w:rsidR="00E2756F" w:rsidRPr="00E2756F" w:rsidRDefault="00E2756F" w:rsidP="00C373ED">
      <w:pPr>
        <w:pStyle w:val="Heading2"/>
      </w:pPr>
      <w:r w:rsidRPr="00E2756F">
        <w:t>3. Vendor Self-Service Preferences &amp; API Demand</w:t>
      </w:r>
    </w:p>
    <w:p w14:paraId="1B1E7A2E" w14:textId="21482BFB" w:rsidR="00E2756F" w:rsidRPr="00E2756F" w:rsidRDefault="00E2756F" w:rsidP="00C373ED">
      <w:pPr>
        <w:pStyle w:val="Heading3"/>
      </w:pPr>
      <w:r w:rsidRPr="00E2756F">
        <w:t>Direct Vendor Feedback: API Access Preference</w:t>
      </w:r>
    </w:p>
    <w:p w14:paraId="3750522E" w14:textId="622F346A" w:rsidR="00E2756F" w:rsidRPr="00E2756F" w:rsidRDefault="00E2756F" w:rsidP="00E2756F">
      <w:pPr>
        <w:rPr>
          <w:szCs w:val="20"/>
        </w:rPr>
      </w:pPr>
      <w:r w:rsidRPr="00E2756F">
        <w:rPr>
          <w:szCs w:val="20"/>
        </w:rPr>
        <w:t xml:space="preserve">In conference calls, </w:t>
      </w:r>
      <w:r w:rsidRPr="001D1C59">
        <w:rPr>
          <w:b/>
          <w:bCs/>
          <w:szCs w:val="20"/>
        </w:rPr>
        <w:t>Blue Buffalo</w:t>
      </w:r>
      <w:r w:rsidRPr="00E2756F">
        <w:rPr>
          <w:szCs w:val="20"/>
        </w:rPr>
        <w:t xml:space="preserve"> expressed distinct preference for API access to CPFR data, explicitly weighing this capability against the cost of VDS tenancy (3% of COGS up to $400K plus $250K). Blue Buffalo characterized current email-based CPFR data transmission as a "struggle" and indicated that API availability would be a significant decision factor in their vendor data services investment evaluation.</w:t>
      </w:r>
    </w:p>
    <w:p w14:paraId="1F6D906B" w14:textId="292B312C" w:rsidR="00E2756F" w:rsidRPr="00E2756F" w:rsidRDefault="00E2756F" w:rsidP="00E2756F">
      <w:pPr>
        <w:rPr>
          <w:szCs w:val="20"/>
        </w:rPr>
      </w:pPr>
      <w:r w:rsidRPr="00E2756F">
        <w:rPr>
          <w:szCs w:val="20"/>
        </w:rPr>
        <w:t xml:space="preserve">This preference echoes previous statements from </w:t>
      </w:r>
      <w:r w:rsidRPr="00C373ED">
        <w:rPr>
          <w:b/>
          <w:bCs/>
          <w:szCs w:val="20"/>
        </w:rPr>
        <w:t>Mars</w:t>
      </w:r>
      <w:r w:rsidRPr="00E2756F">
        <w:rPr>
          <w:szCs w:val="20"/>
        </w:rPr>
        <w:t xml:space="preserve"> and </w:t>
      </w:r>
      <w:r w:rsidRPr="00C373ED">
        <w:rPr>
          <w:b/>
          <w:bCs/>
          <w:szCs w:val="20"/>
        </w:rPr>
        <w:t>Nestle-Purina</w:t>
      </w:r>
      <w:r w:rsidRPr="00E2756F">
        <w:rPr>
          <w:szCs w:val="20"/>
        </w:rPr>
        <w:t>—the two largest vendors in the CPFR program. The consistency of this feedback across major vendor relationships indicates that API access is not an isolated request but a systematic preference among sophisticated vendor partners</w:t>
      </w:r>
      <w:r w:rsidR="001D1C59">
        <w:rPr>
          <w:szCs w:val="20"/>
        </w:rPr>
        <w:t>, and much simpler to deploy via CPH portal.</w:t>
      </w:r>
    </w:p>
    <w:p w14:paraId="0882F3A6" w14:textId="6896251B" w:rsidR="00E2756F" w:rsidRPr="00E2756F" w:rsidRDefault="00E2756F" w:rsidP="00C373ED">
      <w:pPr>
        <w:pStyle w:val="Heading3"/>
      </w:pPr>
      <w:r w:rsidRPr="00E2756F">
        <w:t>Portal Access Prioritization</w:t>
      </w:r>
    </w:p>
    <w:p w14:paraId="34D25CB8" w14:textId="51C3FB17" w:rsidR="00E2756F" w:rsidRPr="00E2756F" w:rsidRDefault="00E2756F" w:rsidP="00E2756F">
      <w:pPr>
        <w:rPr>
          <w:szCs w:val="20"/>
        </w:rPr>
      </w:pPr>
      <w:r w:rsidRPr="00E2756F">
        <w:rPr>
          <w:szCs w:val="20"/>
        </w:rPr>
        <w:t>Vendor feedback emphasizes portal access over advanced thresholding or signaling features for initial rollout. Self-service data access is viewed as delivering greater immediate value in both vendor-Chewy alignment and collaborative follow-up than incremental analytical sophistication</w:t>
      </w:r>
      <w:r w:rsidR="001D1C59">
        <w:rPr>
          <w:szCs w:val="20"/>
        </w:rPr>
        <w:t xml:space="preserve"> (though this was a close second)</w:t>
      </w:r>
      <w:r w:rsidRPr="00E2756F">
        <w:rPr>
          <w:szCs w:val="20"/>
        </w:rPr>
        <w:t>. This suggests a clear implementation priority: establish reliable self-service access first, then expand analytical capabilities based on adoption patterns.</w:t>
      </w:r>
    </w:p>
    <w:p w14:paraId="5FFDD0E5" w14:textId="1D6A0485" w:rsidR="00E2756F" w:rsidRPr="00E2756F" w:rsidRDefault="00E2756F" w:rsidP="00C373ED">
      <w:pPr>
        <w:pStyle w:val="Heading3"/>
      </w:pPr>
      <w:r w:rsidRPr="00E2756F">
        <w:t>Daily Data Cadence Requirements</w:t>
      </w:r>
    </w:p>
    <w:p w14:paraId="2743DDE0" w14:textId="7F3A8354" w:rsidR="00E2756F" w:rsidRPr="00E2756F" w:rsidRDefault="00E2756F" w:rsidP="00E2756F">
      <w:pPr>
        <w:rPr>
          <w:szCs w:val="20"/>
        </w:rPr>
      </w:pPr>
      <w:r w:rsidRPr="00E2756F">
        <w:rPr>
          <w:szCs w:val="20"/>
        </w:rPr>
        <w:t xml:space="preserve">Vendors have explicitly requested </w:t>
      </w:r>
      <w:r w:rsidRPr="00C373ED">
        <w:rPr>
          <w:b/>
          <w:bCs/>
          <w:szCs w:val="20"/>
        </w:rPr>
        <w:t>daily-available data</w:t>
      </w:r>
      <w:r w:rsidRPr="00E2756F">
        <w:rPr>
          <w:szCs w:val="20"/>
        </w:rPr>
        <w:t xml:space="preserve"> via portal, particularly for:</w:t>
      </w:r>
    </w:p>
    <w:p w14:paraId="71A39770" w14:textId="42EEF025" w:rsidR="00E2756F" w:rsidRPr="00C373ED" w:rsidRDefault="00E2756F" w:rsidP="00C373ED">
      <w:pPr>
        <w:pStyle w:val="ListParagraph"/>
        <w:numPr>
          <w:ilvl w:val="0"/>
          <w:numId w:val="12"/>
        </w:numPr>
        <w:ind w:left="270" w:hanging="180"/>
        <w:rPr>
          <w:szCs w:val="20"/>
        </w:rPr>
      </w:pPr>
      <w:r w:rsidRPr="00C373ED">
        <w:rPr>
          <w:szCs w:val="20"/>
        </w:rPr>
        <w:t>PDP out-of-stock (OOS) metrics</w:t>
      </w:r>
    </w:p>
    <w:p w14:paraId="2BF5A551" w14:textId="00818AEE" w:rsidR="00E2756F" w:rsidRPr="00C373ED" w:rsidRDefault="00E2756F" w:rsidP="00C373ED">
      <w:pPr>
        <w:pStyle w:val="ListParagraph"/>
        <w:numPr>
          <w:ilvl w:val="0"/>
          <w:numId w:val="12"/>
        </w:numPr>
        <w:ind w:left="270" w:hanging="180"/>
        <w:rPr>
          <w:szCs w:val="20"/>
        </w:rPr>
      </w:pPr>
      <w:r w:rsidRPr="00C373ED">
        <w:rPr>
          <w:szCs w:val="20"/>
        </w:rPr>
        <w:t>Fill rate performance</w:t>
      </w:r>
    </w:p>
    <w:p w14:paraId="09D3D132" w14:textId="22061A3C" w:rsidR="00E2756F" w:rsidRPr="00C373ED" w:rsidRDefault="00E2756F" w:rsidP="00C373ED">
      <w:pPr>
        <w:pStyle w:val="ListParagraph"/>
        <w:numPr>
          <w:ilvl w:val="0"/>
          <w:numId w:val="12"/>
        </w:numPr>
        <w:ind w:left="270" w:hanging="180"/>
        <w:rPr>
          <w:szCs w:val="20"/>
        </w:rPr>
      </w:pPr>
      <w:r w:rsidRPr="00C373ED">
        <w:rPr>
          <w:szCs w:val="20"/>
        </w:rPr>
        <w:t>Forecast updates</w:t>
      </w:r>
    </w:p>
    <w:p w14:paraId="4DA95944" w14:textId="27FE94EC" w:rsidR="006E4789" w:rsidRDefault="00E2756F" w:rsidP="00E2756F">
      <w:pPr>
        <w:rPr>
          <w:szCs w:val="20"/>
        </w:rPr>
      </w:pPr>
      <w:r w:rsidRPr="00E2756F">
        <w:rPr>
          <w:szCs w:val="20"/>
        </w:rPr>
        <w:t xml:space="preserve">Recovery cycles for PDP and fill rate issues often occur over days rather than weeks, making weekly data cadence insufficient for responsive corrective action. Daily availability is estimated to save approximately </w:t>
      </w:r>
      <w:r w:rsidRPr="001D1C59">
        <w:rPr>
          <w:b/>
          <w:bCs/>
          <w:szCs w:val="20"/>
        </w:rPr>
        <w:t xml:space="preserve">1 </w:t>
      </w:r>
      <w:r w:rsidR="001D1C59">
        <w:rPr>
          <w:b/>
          <w:bCs/>
          <w:szCs w:val="20"/>
        </w:rPr>
        <w:t xml:space="preserve">additional </w:t>
      </w:r>
      <w:r w:rsidRPr="001D1C59">
        <w:rPr>
          <w:b/>
          <w:bCs/>
          <w:szCs w:val="20"/>
        </w:rPr>
        <w:t>hour per</w:t>
      </w:r>
      <w:r w:rsidR="001D1C59">
        <w:rPr>
          <w:b/>
          <w:bCs/>
          <w:szCs w:val="20"/>
        </w:rPr>
        <w:t xml:space="preserve"> </w:t>
      </w:r>
      <w:r w:rsidRPr="001D1C59">
        <w:rPr>
          <w:b/>
          <w:bCs/>
          <w:szCs w:val="20"/>
        </w:rPr>
        <w:t>week</w:t>
      </w:r>
      <w:r w:rsidRPr="00E2756F">
        <w:rPr>
          <w:szCs w:val="20"/>
        </w:rPr>
        <w:t xml:space="preserve"> in coordination overhead per affected vendor, while enabling</w:t>
      </w:r>
      <w:r w:rsidR="001D1C59">
        <w:rPr>
          <w:szCs w:val="20"/>
        </w:rPr>
        <w:t xml:space="preserve"> up to a</w:t>
      </w:r>
      <w:r w:rsidRPr="00E2756F">
        <w:rPr>
          <w:szCs w:val="20"/>
        </w:rPr>
        <w:t xml:space="preserve"> </w:t>
      </w:r>
      <w:r w:rsidRPr="001D1C59">
        <w:rPr>
          <w:b/>
          <w:bCs/>
          <w:szCs w:val="20"/>
        </w:rPr>
        <w:t>50% improvement in OOS recovery</w:t>
      </w:r>
      <w:r w:rsidRPr="00E2756F">
        <w:rPr>
          <w:szCs w:val="20"/>
        </w:rPr>
        <w:t xml:space="preserve"> for affected items.</w:t>
      </w:r>
    </w:p>
    <w:p w14:paraId="29F0C50B" w14:textId="5DD9CBA9" w:rsidR="00E2756F" w:rsidRPr="00E2756F" w:rsidRDefault="00E2756F" w:rsidP="00E2756F">
      <w:pPr>
        <w:rPr>
          <w:szCs w:val="20"/>
        </w:rPr>
      </w:pPr>
      <w:r w:rsidRPr="00E2756F">
        <w:rPr>
          <w:szCs w:val="20"/>
        </w:rPr>
        <w:t>While affected items represent</w:t>
      </w:r>
      <w:r w:rsidR="001D1C59">
        <w:rPr>
          <w:szCs w:val="20"/>
        </w:rPr>
        <w:t xml:space="preserve"> about</w:t>
      </w:r>
      <w:r w:rsidRPr="00E2756F">
        <w:rPr>
          <w:szCs w:val="20"/>
        </w:rPr>
        <w:t xml:space="preserve"> 0.1% of company-wide OOS, </w:t>
      </w:r>
      <w:r w:rsidR="001D1C59">
        <w:rPr>
          <w:szCs w:val="20"/>
        </w:rPr>
        <w:t>affected vendors—by nature—</w:t>
      </w:r>
      <w:r w:rsidRPr="00E2756F">
        <w:rPr>
          <w:szCs w:val="20"/>
        </w:rPr>
        <w:t xml:space="preserve">trend </w:t>
      </w:r>
      <w:r w:rsidR="001D1C59">
        <w:rPr>
          <w:szCs w:val="20"/>
        </w:rPr>
        <w:t>higher than average, s</w:t>
      </w:r>
      <w:r w:rsidRPr="00E2756F">
        <w:rPr>
          <w:szCs w:val="20"/>
        </w:rPr>
        <w:t>uggesting the impacted inventory pool may approach 1% for the vendor</w:t>
      </w:r>
      <w:r w:rsidR="001D1C59">
        <w:rPr>
          <w:szCs w:val="20"/>
        </w:rPr>
        <w:t xml:space="preserve">s </w:t>
      </w:r>
      <w:r w:rsidRPr="00E2756F">
        <w:rPr>
          <w:szCs w:val="20"/>
        </w:rPr>
        <w:t>most likely to use daily data for rapid response.</w:t>
      </w:r>
    </w:p>
    <w:p w14:paraId="0ADC236C" w14:textId="17E987EE" w:rsidR="00E2756F" w:rsidRPr="00E2756F" w:rsidRDefault="00E2756F" w:rsidP="00C373ED">
      <w:pPr>
        <w:pStyle w:val="Heading2"/>
      </w:pPr>
      <w:r w:rsidRPr="00E2756F">
        <w:t>4. SKU and Vendor Number Assignment Cleanup</w:t>
      </w:r>
    </w:p>
    <w:p w14:paraId="3A47AA58" w14:textId="3241E3DF" w:rsidR="00E2756F" w:rsidRPr="00E2756F" w:rsidRDefault="00E2756F" w:rsidP="00E2756F">
      <w:pPr>
        <w:rPr>
          <w:szCs w:val="20"/>
        </w:rPr>
      </w:pPr>
      <w:r w:rsidRPr="00E2756F">
        <w:rPr>
          <w:szCs w:val="20"/>
        </w:rPr>
        <w:t>Visibility into unused-but-not-deactivated vendor numbers and agreement lines would facilitate cleanup of a particularly insidious data quality issue: price discrepancies between active and obsolete vendor numbers for the same SKU.</w:t>
      </w:r>
    </w:p>
    <w:p w14:paraId="7ED8F92A" w14:textId="6F6280D7" w:rsidR="00E2756F" w:rsidRPr="00E2756F" w:rsidRDefault="00E2756F" w:rsidP="006E4789">
      <w:pPr>
        <w:rPr>
          <w:szCs w:val="20"/>
        </w:rPr>
      </w:pPr>
      <w:r w:rsidRPr="00C373ED">
        <w:rPr>
          <w:b/>
          <w:bCs/>
          <w:szCs w:val="20"/>
        </w:rPr>
        <w:t>Example scenario</w:t>
      </w:r>
      <w:r w:rsidRPr="00E2756F">
        <w:rPr>
          <w:szCs w:val="20"/>
        </w:rPr>
        <w:t xml:space="preserve">: A vendor's primary vendor number receives a price increase (reflected in the active agreement). However, an obsolete vendor number tied to the same SKU—with a lower historical price—remains active but does not receive price updates. </w:t>
      </w:r>
      <w:r w:rsidR="001D1C59">
        <w:rPr>
          <w:szCs w:val="20"/>
        </w:rPr>
        <w:t xml:space="preserve">Pricing algorithms select the lower (invalid) price, </w:t>
      </w:r>
      <w:r w:rsidRPr="00E2756F">
        <w:rPr>
          <w:szCs w:val="20"/>
        </w:rPr>
        <w:t>c</w:t>
      </w:r>
      <w:r w:rsidR="00EB7760">
        <w:rPr>
          <w:szCs w:val="20"/>
        </w:rPr>
        <w:t>reating</w:t>
      </w:r>
      <w:r w:rsidRPr="00E2756F">
        <w:rPr>
          <w:szCs w:val="20"/>
        </w:rPr>
        <w:t xml:space="preserve"> potential discrepancies.</w:t>
      </w:r>
    </w:p>
    <w:p w14:paraId="64DBCA33" w14:textId="77777777" w:rsidR="00E2756F" w:rsidRPr="00E2756F" w:rsidRDefault="00E2756F" w:rsidP="006E4789">
      <w:pPr>
        <w:pStyle w:val="Heading4"/>
      </w:pPr>
      <w:r w:rsidRPr="00E2756F">
        <w:lastRenderedPageBreak/>
        <w:t>This issue is especially acute because:</w:t>
      </w:r>
    </w:p>
    <w:p w14:paraId="5EE8EFCD" w14:textId="066779E0" w:rsidR="00E2756F" w:rsidRPr="00C373ED" w:rsidRDefault="00E2756F" w:rsidP="00C373ED">
      <w:pPr>
        <w:pStyle w:val="ListParagraph"/>
        <w:numPr>
          <w:ilvl w:val="0"/>
          <w:numId w:val="13"/>
        </w:numPr>
        <w:ind w:left="270" w:hanging="180"/>
        <w:rPr>
          <w:szCs w:val="20"/>
        </w:rPr>
      </w:pPr>
      <w:r w:rsidRPr="00C373ED">
        <w:rPr>
          <w:szCs w:val="20"/>
        </w:rPr>
        <w:t xml:space="preserve">Vendors </w:t>
      </w:r>
      <w:r w:rsidR="00EB7760">
        <w:rPr>
          <w:szCs w:val="20"/>
        </w:rPr>
        <w:t>all too often</w:t>
      </w:r>
      <w:r w:rsidRPr="00C373ED">
        <w:rPr>
          <w:szCs w:val="20"/>
        </w:rPr>
        <w:t xml:space="preserve"> do not know their own vendor numbers</w:t>
      </w:r>
    </w:p>
    <w:p w14:paraId="29446D2E" w14:textId="1290D793" w:rsidR="00E2756F" w:rsidRPr="00C373ED" w:rsidRDefault="00E2756F" w:rsidP="00C373ED">
      <w:pPr>
        <w:pStyle w:val="ListParagraph"/>
        <w:numPr>
          <w:ilvl w:val="0"/>
          <w:numId w:val="13"/>
        </w:numPr>
        <w:ind w:left="270" w:hanging="180"/>
        <w:rPr>
          <w:szCs w:val="20"/>
        </w:rPr>
      </w:pPr>
      <w:r w:rsidRPr="00C373ED">
        <w:rPr>
          <w:szCs w:val="20"/>
        </w:rPr>
        <w:t xml:space="preserve">Vendor numbers are not </w:t>
      </w:r>
      <w:r w:rsidRPr="00EB7760">
        <w:rPr>
          <w:b/>
          <w:bCs/>
          <w:szCs w:val="20"/>
        </w:rPr>
        <w:t>easily</w:t>
      </w:r>
      <w:r w:rsidRPr="00C373ED">
        <w:rPr>
          <w:szCs w:val="20"/>
        </w:rPr>
        <w:t xml:space="preserve"> searchable</w:t>
      </w:r>
    </w:p>
    <w:p w14:paraId="411D5228" w14:textId="2BAB6EAC" w:rsidR="00E2756F" w:rsidRPr="00C373ED" w:rsidRDefault="00E2756F" w:rsidP="00C373ED">
      <w:pPr>
        <w:pStyle w:val="ListParagraph"/>
        <w:numPr>
          <w:ilvl w:val="0"/>
          <w:numId w:val="13"/>
        </w:numPr>
        <w:ind w:left="270" w:hanging="180"/>
        <w:rPr>
          <w:szCs w:val="20"/>
        </w:rPr>
      </w:pPr>
      <w:r w:rsidRPr="00C373ED">
        <w:rPr>
          <w:szCs w:val="20"/>
        </w:rPr>
        <w:t xml:space="preserve">Portal ticket submissions lack </w:t>
      </w:r>
      <w:r w:rsidR="00EB7760">
        <w:rPr>
          <w:szCs w:val="20"/>
        </w:rPr>
        <w:t xml:space="preserve">adequate </w:t>
      </w:r>
      <w:r w:rsidRPr="00C373ED">
        <w:rPr>
          <w:szCs w:val="20"/>
        </w:rPr>
        <w:t>fields for vendor number entry</w:t>
      </w:r>
    </w:p>
    <w:p w14:paraId="1CE59735" w14:textId="334888BB" w:rsidR="00E2756F" w:rsidRPr="00C373ED" w:rsidRDefault="00E2756F" w:rsidP="00C373ED">
      <w:pPr>
        <w:pStyle w:val="ListParagraph"/>
        <w:numPr>
          <w:ilvl w:val="0"/>
          <w:numId w:val="13"/>
        </w:numPr>
        <w:ind w:left="270" w:hanging="180"/>
        <w:rPr>
          <w:szCs w:val="20"/>
        </w:rPr>
      </w:pPr>
      <w:r w:rsidRPr="00C373ED">
        <w:rPr>
          <w:szCs w:val="20"/>
        </w:rPr>
        <w:t>Long-term vendors often accumulate multiple active agreements and vendor numbers, plus expired/inactive entries</w:t>
      </w:r>
    </w:p>
    <w:p w14:paraId="2A65F13F" w14:textId="03C3D23B" w:rsidR="00E2756F" w:rsidRPr="00E2756F" w:rsidRDefault="00E2756F" w:rsidP="00E2756F">
      <w:pPr>
        <w:rPr>
          <w:szCs w:val="20"/>
        </w:rPr>
      </w:pPr>
      <w:r w:rsidRPr="00E2756F">
        <w:rPr>
          <w:szCs w:val="20"/>
        </w:rPr>
        <w:t>Improved visibility would help prevent items from being added to incorrect vendor numbers and enable systematic cleanup of legacy data structures.</w:t>
      </w:r>
    </w:p>
    <w:p w14:paraId="4C422AA8" w14:textId="22FDF03B" w:rsidR="00E2756F" w:rsidRPr="00C373ED" w:rsidRDefault="00E2756F" w:rsidP="00C373ED">
      <w:pPr>
        <w:pStyle w:val="Heading2"/>
      </w:pPr>
      <w:r w:rsidRPr="00E2756F">
        <w:t>Summary of Quantified Impacts</w:t>
      </w:r>
    </w:p>
    <w:p w14:paraId="216B4A5F" w14:textId="77777777" w:rsidR="00E2756F" w:rsidRPr="00E2756F" w:rsidRDefault="00E2756F" w:rsidP="00E2756F">
      <w:pPr>
        <w:rPr>
          <w:szCs w:val="20"/>
        </w:rPr>
      </w:pPr>
      <w:r w:rsidRPr="00E2756F">
        <w:rPr>
          <w:szCs w:val="20"/>
        </w:rPr>
        <w:t>The survey evidence documents measurable operational burden and financial exposure:</w:t>
      </w:r>
    </w:p>
    <w:p w14:paraId="68B10D3C" w14:textId="77777777" w:rsidR="00C373ED" w:rsidRDefault="00E2756F" w:rsidP="00C373ED">
      <w:pPr>
        <w:pStyle w:val="Heading4"/>
      </w:pPr>
      <w:r w:rsidRPr="00C373ED">
        <w:rPr>
          <w:b w:val="0"/>
        </w:rPr>
        <w:t>Time burden reduction opportunities</w:t>
      </w:r>
      <w:r w:rsidRPr="00E2756F">
        <w:t>:</w:t>
      </w:r>
    </w:p>
    <w:p w14:paraId="13F72404" w14:textId="20549A52" w:rsidR="00E2756F" w:rsidRPr="00C373ED" w:rsidRDefault="00E2756F" w:rsidP="00C373ED">
      <w:pPr>
        <w:pStyle w:val="ListParagraph"/>
        <w:numPr>
          <w:ilvl w:val="0"/>
          <w:numId w:val="19"/>
        </w:numPr>
        <w:ind w:left="270" w:hanging="180"/>
        <w:rPr>
          <w:szCs w:val="20"/>
        </w:rPr>
      </w:pPr>
      <w:r w:rsidRPr="00C373ED">
        <w:rPr>
          <w:szCs w:val="20"/>
        </w:rPr>
        <w:t>1-5 hours per ISM per week in CPFR data preparation and COE</w:t>
      </w:r>
    </w:p>
    <w:p w14:paraId="0B2D5924" w14:textId="7FDA7149" w:rsidR="00E2756F" w:rsidRPr="00C373ED" w:rsidRDefault="00E2756F" w:rsidP="00C373ED">
      <w:pPr>
        <w:pStyle w:val="ListParagraph"/>
        <w:numPr>
          <w:ilvl w:val="0"/>
          <w:numId w:val="19"/>
        </w:numPr>
        <w:ind w:left="270" w:hanging="180"/>
        <w:rPr>
          <w:szCs w:val="20"/>
        </w:rPr>
      </w:pPr>
      <w:r w:rsidRPr="00C373ED">
        <w:rPr>
          <w:szCs w:val="20"/>
        </w:rPr>
        <w:t>~2 days per week addressing MOQ/transportation escalations (opportunity for incremental feature expansion)</w:t>
      </w:r>
    </w:p>
    <w:p w14:paraId="65C16995" w14:textId="21E16C73" w:rsidR="00E2756F" w:rsidRPr="00C373ED" w:rsidRDefault="00E2756F" w:rsidP="00C373ED">
      <w:pPr>
        <w:pStyle w:val="ListParagraph"/>
        <w:numPr>
          <w:ilvl w:val="0"/>
          <w:numId w:val="19"/>
        </w:numPr>
        <w:ind w:left="270" w:hanging="180"/>
        <w:rPr>
          <w:szCs w:val="20"/>
        </w:rPr>
      </w:pPr>
      <w:r w:rsidRPr="00C373ED">
        <w:rPr>
          <w:szCs w:val="20"/>
        </w:rPr>
        <w:t>~1 hour per week per vendor relationship through daily data availability</w:t>
      </w:r>
    </w:p>
    <w:p w14:paraId="36F37B29" w14:textId="2C336DCE" w:rsidR="00E2756F" w:rsidRPr="00C373ED" w:rsidRDefault="00E2756F" w:rsidP="00C373ED">
      <w:pPr>
        <w:pStyle w:val="Heading4"/>
      </w:pPr>
      <w:r w:rsidRPr="00C373ED">
        <w:t>Financial impact from improved visibility:</w:t>
      </w:r>
    </w:p>
    <w:p w14:paraId="35C8B4A1" w14:textId="0091B27B" w:rsidR="00E2756F" w:rsidRPr="00C373ED" w:rsidRDefault="00E2756F" w:rsidP="00C373ED">
      <w:pPr>
        <w:pStyle w:val="ListParagraph"/>
        <w:numPr>
          <w:ilvl w:val="0"/>
          <w:numId w:val="15"/>
        </w:numPr>
        <w:ind w:left="270" w:hanging="180"/>
        <w:rPr>
          <w:szCs w:val="20"/>
        </w:rPr>
      </w:pPr>
      <w:r w:rsidRPr="00C373ED">
        <w:rPr>
          <w:szCs w:val="20"/>
        </w:rPr>
        <w:t>$5M documented cost avoidance case (single threshold mismatch event)</w:t>
      </w:r>
    </w:p>
    <w:p w14:paraId="6FC64B11" w14:textId="22E3B016" w:rsidR="00E2756F" w:rsidRPr="00C373ED" w:rsidRDefault="00E2756F" w:rsidP="00C373ED">
      <w:pPr>
        <w:pStyle w:val="ListParagraph"/>
        <w:numPr>
          <w:ilvl w:val="0"/>
          <w:numId w:val="15"/>
        </w:numPr>
        <w:ind w:left="270" w:hanging="180"/>
        <w:rPr>
          <w:szCs w:val="20"/>
        </w:rPr>
      </w:pPr>
      <w:r w:rsidRPr="00C373ED">
        <w:rPr>
          <w:szCs w:val="20"/>
        </w:rPr>
        <w:t>~$15M estimated annual exposure from recurring forecast threshold issues</w:t>
      </w:r>
    </w:p>
    <w:p w14:paraId="5C345300" w14:textId="2D068A6A" w:rsidR="00E2756F" w:rsidRPr="00E2756F" w:rsidRDefault="00E2756F" w:rsidP="00C373ED">
      <w:pPr>
        <w:pStyle w:val="Heading4"/>
      </w:pPr>
      <w:r w:rsidRPr="00C373ED">
        <w:t>Vendor relationship evidence</w:t>
      </w:r>
      <w:r w:rsidRPr="00E2756F">
        <w:t>:</w:t>
      </w:r>
    </w:p>
    <w:p w14:paraId="5E610F00" w14:textId="7A789422" w:rsidR="00E2756F" w:rsidRPr="00C373ED" w:rsidRDefault="00E2756F" w:rsidP="00C373ED">
      <w:pPr>
        <w:pStyle w:val="ListParagraph"/>
        <w:numPr>
          <w:ilvl w:val="0"/>
          <w:numId w:val="14"/>
        </w:numPr>
        <w:ind w:left="270" w:hanging="180"/>
        <w:rPr>
          <w:szCs w:val="20"/>
        </w:rPr>
      </w:pPr>
      <w:r w:rsidRPr="00C373ED">
        <w:rPr>
          <w:szCs w:val="20"/>
        </w:rPr>
        <w:t>Consistent API access preference across major vendors (Blue Buffalo, Mars, Nestle-Purina)</w:t>
      </w:r>
    </w:p>
    <w:p w14:paraId="4C895156" w14:textId="363055DF" w:rsidR="00E2756F" w:rsidRPr="00C373ED" w:rsidRDefault="00E2756F" w:rsidP="00C373ED">
      <w:pPr>
        <w:pStyle w:val="ListParagraph"/>
        <w:numPr>
          <w:ilvl w:val="0"/>
          <w:numId w:val="14"/>
        </w:numPr>
        <w:ind w:left="270" w:hanging="180"/>
        <w:rPr>
          <w:szCs w:val="20"/>
        </w:rPr>
      </w:pPr>
      <w:r w:rsidRPr="00C373ED">
        <w:rPr>
          <w:szCs w:val="20"/>
        </w:rPr>
        <w:t>Explicit daily data cadence requirements for operational responsiveness</w:t>
      </w:r>
    </w:p>
    <w:p w14:paraId="4B021E04" w14:textId="1A0D4CEE" w:rsidR="00E2756F" w:rsidRPr="00C373ED" w:rsidRDefault="00E2756F" w:rsidP="00C373ED">
      <w:pPr>
        <w:pStyle w:val="ListParagraph"/>
        <w:numPr>
          <w:ilvl w:val="0"/>
          <w:numId w:val="14"/>
        </w:numPr>
        <w:ind w:left="270" w:hanging="180"/>
        <w:rPr>
          <w:szCs w:val="20"/>
        </w:rPr>
      </w:pPr>
      <w:r w:rsidRPr="00C373ED">
        <w:rPr>
          <w:szCs w:val="20"/>
        </w:rPr>
        <w:t>Clear prioritization of portal self-service over advanced analytical features</w:t>
      </w:r>
    </w:p>
    <w:p w14:paraId="1FDEC6EC" w14:textId="77777777" w:rsidR="006E4789" w:rsidRDefault="00E2756F" w:rsidP="00E2756F">
      <w:pPr>
        <w:rPr>
          <w:szCs w:val="20"/>
        </w:rPr>
      </w:pPr>
      <w:r w:rsidRPr="00E2756F">
        <w:rPr>
          <w:szCs w:val="20"/>
        </w:rPr>
        <w:t>This evidence base supports the business case for CPFR platform modernization by documenting specific, quantifiable pain points experienced by senior ISMs managing substantial vendor relationship portfolios. The convergence of operational burden, financial exposure, and vendor demand creates a compelling case for investment in governed data infrastructure and self-service portal capabilities.</w:t>
      </w:r>
    </w:p>
    <w:p w14:paraId="77C99284" w14:textId="66BB0E39" w:rsidR="00B951AE" w:rsidRDefault="00B951AE" w:rsidP="00D64CBF">
      <w:pPr>
        <w:pStyle w:val="Heading1"/>
      </w:pPr>
      <w:r>
        <w:t>Appendix 3: Architectural Summary</w:t>
      </w:r>
      <w:r w:rsidR="00F42790">
        <w:t xml:space="preserve"> (Platform)</w:t>
      </w:r>
    </w:p>
    <w:p w14:paraId="71AC46BB" w14:textId="61C618AF" w:rsidR="00420EF5" w:rsidRPr="0025222F" w:rsidRDefault="00420EF5" w:rsidP="00A57905">
      <w:pPr>
        <w:pStyle w:val="ListParagraph"/>
        <w:numPr>
          <w:ilvl w:val="0"/>
          <w:numId w:val="10"/>
        </w:numPr>
        <w:ind w:left="270" w:hanging="180"/>
        <w:rPr>
          <w:szCs w:val="20"/>
        </w:rPr>
      </w:pPr>
      <w:r w:rsidRPr="0025222F">
        <w:rPr>
          <w:szCs w:val="20"/>
        </w:rPr>
        <w:t>Illustration is representational</w:t>
      </w:r>
      <w:r w:rsidR="0025222F" w:rsidRPr="0025222F">
        <w:rPr>
          <w:szCs w:val="20"/>
        </w:rPr>
        <w:t>-only</w:t>
      </w:r>
      <w:r w:rsidRPr="0025222F">
        <w:rPr>
          <w:szCs w:val="20"/>
        </w:rPr>
        <w:t>.</w:t>
      </w:r>
    </w:p>
    <w:p w14:paraId="0A45859B" w14:textId="31FEE51F" w:rsidR="005642B2" w:rsidRPr="005642B2" w:rsidRDefault="006E4789" w:rsidP="005642B2">
      <w:pPr>
        <w:pStyle w:val="ListParagraph"/>
        <w:numPr>
          <w:ilvl w:val="0"/>
          <w:numId w:val="10"/>
        </w:numPr>
        <w:ind w:left="270" w:hanging="180"/>
        <w:rPr>
          <w:szCs w:val="20"/>
        </w:rPr>
      </w:pPr>
      <w:r w:rsidRPr="00795A05">
        <w:rPr>
          <w:b/>
          <w:bCs/>
          <w:noProof/>
          <w:szCs w:val="20"/>
        </w:rPr>
        <w:drawing>
          <wp:anchor distT="0" distB="0" distL="114300" distR="114300" simplePos="0" relativeHeight="251658240" behindDoc="1" locked="0" layoutInCell="1" allowOverlap="1" wp14:anchorId="689D6DEE" wp14:editId="3F006FD4">
            <wp:simplePos x="0" y="0"/>
            <wp:positionH relativeFrom="page">
              <wp:align>center</wp:align>
            </wp:positionH>
            <wp:positionV relativeFrom="paragraph">
              <wp:posOffset>511175</wp:posOffset>
            </wp:positionV>
            <wp:extent cx="3841750" cy="2343150"/>
            <wp:effectExtent l="0" t="0" r="6350" b="0"/>
            <wp:wrapTopAndBottom/>
            <wp:docPr id="11598710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87107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1750" cy="2343150"/>
                    </a:xfrm>
                    <a:prstGeom prst="rect">
                      <a:avLst/>
                    </a:prstGeom>
                  </pic:spPr>
                </pic:pic>
              </a:graphicData>
            </a:graphic>
            <wp14:sizeRelH relativeFrom="margin">
              <wp14:pctWidth>0</wp14:pctWidth>
            </wp14:sizeRelH>
            <wp14:sizeRelV relativeFrom="margin">
              <wp14:pctHeight>0</wp14:pctHeight>
            </wp14:sizeRelV>
          </wp:anchor>
        </w:drawing>
      </w:r>
      <w:r w:rsidR="00420EF5" w:rsidRPr="00795A05">
        <w:rPr>
          <w:szCs w:val="20"/>
        </w:rPr>
        <w:t>Segregating Portal access and Chewy TM access allows clear separation of access scopes while maintaining synchronization to single-source data.</w:t>
      </w:r>
      <w:r w:rsidR="005642B2">
        <w:br w:type="page"/>
      </w:r>
    </w:p>
    <w:p w14:paraId="473A937F" w14:textId="77777777" w:rsidR="00EB7760" w:rsidRDefault="00D64CBF" w:rsidP="00EB7760">
      <w:pPr>
        <w:pStyle w:val="Heading1"/>
      </w:pPr>
      <w:r w:rsidRPr="00D64CBF">
        <w:lastRenderedPageBreak/>
        <w:t xml:space="preserve">Appendix </w:t>
      </w:r>
      <w:r>
        <w:t>4: Implementation Plan</w:t>
      </w:r>
    </w:p>
    <w:p w14:paraId="24B789B9" w14:textId="794E2DA9" w:rsidR="004E7DFD" w:rsidRDefault="004E7DFD" w:rsidP="00EB7760">
      <w:pPr>
        <w:pStyle w:val="Heading2"/>
      </w:pPr>
      <w:r>
        <w:t xml:space="preserve">Build &amp; </w:t>
      </w:r>
      <w:r w:rsidRPr="004E7DFD">
        <w:t>Rollout Strategy</w:t>
      </w:r>
      <w:r w:rsidR="00CB70C8">
        <w:t>:</w:t>
      </w:r>
    </w:p>
    <w:p w14:paraId="62283688" w14:textId="10F1BB9F" w:rsidR="004E7DFD" w:rsidRPr="004E7DFD" w:rsidRDefault="004E7DFD" w:rsidP="00EB7760">
      <w:pPr>
        <w:pStyle w:val="Heading3"/>
      </w:pPr>
      <w:r w:rsidRPr="004E7DFD">
        <w:t xml:space="preserve">The rollout will follow a </w:t>
      </w:r>
      <w:r w:rsidRPr="004E7DFD">
        <w:rPr>
          <w:b/>
          <w:bCs/>
        </w:rPr>
        <w:t>phased approach</w:t>
      </w:r>
      <w:r w:rsidRPr="004E7DFD">
        <w:t xml:space="preserve"> that balances speed with control.</w:t>
      </w:r>
    </w:p>
    <w:p w14:paraId="3BC0E3A9" w14:textId="59C214E3" w:rsidR="004E7DFD" w:rsidRPr="004E7DFD" w:rsidRDefault="004E7DFD" w:rsidP="00EB7760">
      <w:pPr>
        <w:pStyle w:val="ListParagraph"/>
        <w:numPr>
          <w:ilvl w:val="0"/>
          <w:numId w:val="21"/>
        </w:numPr>
        <w:tabs>
          <w:tab w:val="left" w:pos="180"/>
        </w:tabs>
        <w:ind w:left="270" w:hanging="180"/>
      </w:pPr>
      <w:r w:rsidRPr="004E7DFD">
        <w:rPr>
          <w:b/>
          <w:bCs/>
        </w:rPr>
        <w:t>Phase 1</w:t>
      </w:r>
      <w:r w:rsidRPr="004E7DFD">
        <w:t xml:space="preserve"> establish</w:t>
      </w:r>
      <w:r>
        <w:t>es</w:t>
      </w:r>
      <w:r w:rsidRPr="004E7DFD">
        <w:t xml:space="preserve"> the </w:t>
      </w:r>
      <w:r w:rsidRPr="004E7DFD">
        <w:rPr>
          <w:b/>
          <w:bCs/>
        </w:rPr>
        <w:t>data platform foundation</w:t>
      </w:r>
      <w:r w:rsidRPr="004E7DFD">
        <w:t xml:space="preserve"> in Snowflake and deliver internal tools for In-Stock and B.I. teams.</w:t>
      </w:r>
    </w:p>
    <w:p w14:paraId="0C028E04" w14:textId="5C3C7E04" w:rsidR="004E7DFD" w:rsidRDefault="004E7DFD" w:rsidP="00EB7760">
      <w:pPr>
        <w:pStyle w:val="ListParagraph"/>
        <w:numPr>
          <w:ilvl w:val="0"/>
          <w:numId w:val="21"/>
        </w:numPr>
        <w:tabs>
          <w:tab w:val="left" w:pos="180"/>
        </w:tabs>
        <w:ind w:left="270" w:hanging="180"/>
      </w:pPr>
      <w:r w:rsidRPr="004E7DFD">
        <w:rPr>
          <w:b/>
          <w:bCs/>
        </w:rPr>
        <w:t>Phase 2</w:t>
      </w:r>
      <w:r w:rsidRPr="004E7DFD">
        <w:t xml:space="preserve"> will extend capabilit</w:t>
      </w:r>
      <w:r>
        <w:t>ies</w:t>
      </w:r>
      <w:r w:rsidRPr="004E7DFD">
        <w:t xml:space="preserve"> to the </w:t>
      </w:r>
      <w:r w:rsidRPr="004E7DFD">
        <w:rPr>
          <w:b/>
          <w:bCs/>
        </w:rPr>
        <w:t>CPFR Vendor Portal</w:t>
      </w:r>
      <w:r w:rsidRPr="004E7DFD">
        <w:t xml:space="preserve"> within Chewy Partner Hub (CPH), enabling secure vendor access and self-service.</w:t>
      </w:r>
    </w:p>
    <w:p w14:paraId="71EAA594" w14:textId="032CCCEE" w:rsidR="004E7DFD" w:rsidRPr="004E7DFD" w:rsidRDefault="004E7DFD" w:rsidP="0025222F">
      <w:pPr>
        <w:spacing w:line="240" w:lineRule="auto"/>
        <w:rPr>
          <w:szCs w:val="20"/>
        </w:rPr>
      </w:pPr>
      <w:r w:rsidRPr="004E7DFD">
        <w:rPr>
          <w:szCs w:val="20"/>
        </w:rPr>
        <w:t xml:space="preserve">While these phases are sequential, </w:t>
      </w:r>
      <w:r>
        <w:rPr>
          <w:szCs w:val="20"/>
        </w:rPr>
        <w:t xml:space="preserve">a degree of </w:t>
      </w:r>
      <w:r w:rsidRPr="004E7DFD">
        <w:rPr>
          <w:szCs w:val="20"/>
        </w:rPr>
        <w:t xml:space="preserve">overlap between late-stage Phase 1 and early-stage Phase 2 is expected and </w:t>
      </w:r>
      <w:r>
        <w:rPr>
          <w:szCs w:val="20"/>
        </w:rPr>
        <w:t>even desirable</w:t>
      </w:r>
      <w:r w:rsidRPr="004E7DFD">
        <w:rPr>
          <w:szCs w:val="20"/>
        </w:rPr>
        <w:t>. This approach minimizes disruption and allows technical, training, and communication activities to proceed in parallel as readiness milestones are met.</w:t>
      </w:r>
    </w:p>
    <w:p w14:paraId="51DF2124" w14:textId="77777777" w:rsidR="004E7DFD" w:rsidRPr="004E7DFD" w:rsidRDefault="004E7DFD" w:rsidP="00EB7760">
      <w:pPr>
        <w:pStyle w:val="Heading3"/>
      </w:pPr>
      <w:r w:rsidRPr="004E7DFD">
        <w:t>Additional measures to ensure a smooth transition:</w:t>
      </w:r>
    </w:p>
    <w:p w14:paraId="78073E03" w14:textId="77777777" w:rsidR="004E7DFD" w:rsidRPr="0025222F" w:rsidRDefault="004E7DFD" w:rsidP="00EB7760">
      <w:pPr>
        <w:pStyle w:val="ListParagraph"/>
        <w:numPr>
          <w:ilvl w:val="0"/>
          <w:numId w:val="22"/>
        </w:numPr>
        <w:tabs>
          <w:tab w:val="left" w:pos="1170"/>
        </w:tabs>
        <w:ind w:left="270" w:hanging="180"/>
      </w:pPr>
      <w:r w:rsidRPr="0025222F">
        <w:t>In-Stock staff will receive pre-release training and reference documentation prior to portal enablement.</w:t>
      </w:r>
    </w:p>
    <w:p w14:paraId="48E2F46C" w14:textId="76B72156" w:rsidR="004E7DFD" w:rsidRPr="0025222F" w:rsidRDefault="004E7DFD" w:rsidP="00EB7760">
      <w:pPr>
        <w:pStyle w:val="ListParagraph"/>
        <w:numPr>
          <w:ilvl w:val="0"/>
          <w:numId w:val="22"/>
        </w:numPr>
        <w:tabs>
          <w:tab w:val="left" w:pos="1170"/>
        </w:tabs>
        <w:ind w:left="270" w:hanging="180"/>
      </w:pPr>
      <w:r w:rsidRPr="0025222F">
        <w:t>Early rollout will focus on a smaller initial vendor group</w:t>
      </w:r>
      <w:r w:rsidR="00CB70C8" w:rsidRPr="0025222F">
        <w:t xml:space="preserve"> (e.g. Tier 1 vendors followed by Tier 2, etc.)</w:t>
      </w:r>
      <w:r w:rsidRPr="0025222F">
        <w:t>, allowing Chewy to validate workflows and resolve any early issues before broad release.</w:t>
      </w:r>
    </w:p>
    <w:p w14:paraId="45C7AC79" w14:textId="77777777" w:rsidR="004E7DFD" w:rsidRPr="0025222F" w:rsidRDefault="004E7DFD" w:rsidP="00EB7760">
      <w:pPr>
        <w:pStyle w:val="ListParagraph"/>
        <w:numPr>
          <w:ilvl w:val="0"/>
          <w:numId w:val="22"/>
        </w:numPr>
        <w:tabs>
          <w:tab w:val="left" w:pos="1170"/>
        </w:tabs>
        <w:ind w:left="270" w:hanging="180"/>
      </w:pPr>
      <w:r w:rsidRPr="0025222F">
        <w:t>Lessons learned from this initial onboarding will inform subsequent vendor activation waves.</w:t>
      </w:r>
    </w:p>
    <w:p w14:paraId="185C28AB" w14:textId="2E1B97B6" w:rsidR="004E7DFD" w:rsidRPr="004E7DFD" w:rsidRDefault="004E7DFD" w:rsidP="00EB7760">
      <w:pPr>
        <w:pStyle w:val="Heading2"/>
      </w:pPr>
      <w:r w:rsidRPr="004E7DFD">
        <w:t>Communication Strategy</w:t>
      </w:r>
      <w:r w:rsidR="00CB70C8">
        <w:t>:</w:t>
      </w:r>
    </w:p>
    <w:p w14:paraId="2290F35A" w14:textId="77777777" w:rsidR="004E7DFD" w:rsidRPr="004E7DFD" w:rsidRDefault="004E7DFD" w:rsidP="0025222F">
      <w:pPr>
        <w:spacing w:after="0" w:line="240" w:lineRule="auto"/>
        <w:rPr>
          <w:szCs w:val="20"/>
        </w:rPr>
      </w:pPr>
      <w:r w:rsidRPr="004E7DFD">
        <w:rPr>
          <w:szCs w:val="20"/>
        </w:rPr>
        <w:t>Throughout build and rollout, progress and reference materials will be tracked in a shared collaboration space (e.g., Confluence). Communication to internal and external users will be staged to align with the two primary phases:</w:t>
      </w:r>
    </w:p>
    <w:p w14:paraId="2DD48542" w14:textId="7D47AA16" w:rsidR="004E7DFD" w:rsidRPr="004E7DFD" w:rsidRDefault="004E7DFD" w:rsidP="00EB7760">
      <w:pPr>
        <w:pStyle w:val="ListParagraph"/>
        <w:numPr>
          <w:ilvl w:val="0"/>
          <w:numId w:val="23"/>
        </w:numPr>
        <w:ind w:left="270" w:hanging="180"/>
      </w:pPr>
      <w:r w:rsidRPr="0025222F">
        <w:t>Pre-launch notifications:</w:t>
      </w:r>
      <w:r w:rsidRPr="004E7DFD">
        <w:t xml:space="preserve"> sent 30 days prior to each rollout milestone, specifying go-live timing and hypercare period.</w:t>
      </w:r>
    </w:p>
    <w:p w14:paraId="4D090C58" w14:textId="77777777" w:rsidR="004E7DFD" w:rsidRPr="004E7DFD" w:rsidRDefault="004E7DFD" w:rsidP="00EB7760">
      <w:pPr>
        <w:pStyle w:val="ListParagraph"/>
        <w:numPr>
          <w:ilvl w:val="0"/>
          <w:numId w:val="23"/>
        </w:numPr>
        <w:ind w:left="270" w:hanging="180"/>
      </w:pPr>
      <w:r w:rsidRPr="0025222F">
        <w:t>Orientation sessions:</w:t>
      </w:r>
      <w:r w:rsidRPr="004E7DFD">
        <w:t xml:space="preserve"> offered for internal users and early vendor adopters during the hypercare window (≈ 30 days post-launch). Additional sessions may be added based on adoption needs.</w:t>
      </w:r>
    </w:p>
    <w:p w14:paraId="6F2B5DDD" w14:textId="01325F6C" w:rsidR="004E7DFD" w:rsidRPr="004E7DFD" w:rsidRDefault="004E7DFD" w:rsidP="00EB7760">
      <w:pPr>
        <w:pStyle w:val="ListParagraph"/>
        <w:numPr>
          <w:ilvl w:val="0"/>
          <w:numId w:val="23"/>
        </w:numPr>
        <w:ind w:left="270" w:hanging="180"/>
      </w:pPr>
      <w:r w:rsidRPr="0025222F">
        <w:t>Awareness updates:</w:t>
      </w:r>
      <w:r w:rsidRPr="004E7DFD">
        <w:t xml:space="preserve"> periodic “coming soon” highlights during development to prepare teams for upcoming functionality.</w:t>
      </w:r>
    </w:p>
    <w:p w14:paraId="005A76FF" w14:textId="036CD8A8" w:rsidR="004E7DFD" w:rsidRPr="004E7DFD" w:rsidRDefault="004E7DFD" w:rsidP="00EB7760">
      <w:pPr>
        <w:pStyle w:val="Heading2"/>
      </w:pPr>
      <w:r w:rsidRPr="004E7DFD">
        <w:t>Hypercare</w:t>
      </w:r>
      <w:r w:rsidR="00CB70C8">
        <w:t>:</w:t>
      </w:r>
    </w:p>
    <w:p w14:paraId="2993BB3A" w14:textId="2D438402" w:rsidR="004E7DFD" w:rsidRPr="004E7DFD" w:rsidRDefault="004E7DFD" w:rsidP="00EB7760">
      <w:pPr>
        <w:pStyle w:val="ListParagraph"/>
        <w:numPr>
          <w:ilvl w:val="0"/>
          <w:numId w:val="24"/>
        </w:numPr>
        <w:ind w:left="270" w:hanging="180"/>
      </w:pPr>
      <w:r w:rsidRPr="004E7DFD">
        <w:t>A defined period of elevated service attention will follow each rollout milestone to ensure stable adoption</w:t>
      </w:r>
      <w:r w:rsidR="0025222F">
        <w:t>:</w:t>
      </w:r>
    </w:p>
    <w:p w14:paraId="23826874" w14:textId="77777777" w:rsidR="004E7DFD" w:rsidRPr="004E7DFD" w:rsidRDefault="004E7DFD" w:rsidP="00EB7760">
      <w:pPr>
        <w:pStyle w:val="ListParagraph"/>
        <w:numPr>
          <w:ilvl w:val="0"/>
          <w:numId w:val="24"/>
        </w:numPr>
        <w:ind w:left="270" w:hanging="180"/>
      </w:pPr>
      <w:r w:rsidRPr="004E7DFD">
        <w:t>Externally, hypercare maintains Chewy’s commitment to partnership by providing responsive support and encouraging early adoption success.</w:t>
      </w:r>
    </w:p>
    <w:p w14:paraId="5CEDFDD6" w14:textId="6CC91881" w:rsidR="004E7DFD" w:rsidRPr="004E7DFD" w:rsidRDefault="004E7DFD" w:rsidP="00EB7760">
      <w:pPr>
        <w:pStyle w:val="ListParagraph"/>
        <w:numPr>
          <w:ilvl w:val="0"/>
          <w:numId w:val="24"/>
        </w:numPr>
        <w:ind w:left="270" w:hanging="180"/>
      </w:pPr>
      <w:r w:rsidRPr="004E7DFD">
        <w:t xml:space="preserve">Internally, it delivers fast feedback loops </w:t>
      </w:r>
      <w:r w:rsidR="0025222F">
        <w:t>for</w:t>
      </w:r>
      <w:r w:rsidRPr="004E7DFD">
        <w:t xml:space="preserve"> support and engineering teams to implement quick fixes and optimizations.</w:t>
      </w:r>
    </w:p>
    <w:p w14:paraId="125D10EB" w14:textId="79352A14" w:rsidR="004E7DFD" w:rsidRPr="004E7DFD" w:rsidRDefault="004E7DFD" w:rsidP="00EB7760">
      <w:pPr>
        <w:pStyle w:val="Heading2"/>
      </w:pPr>
      <w:r w:rsidRPr="004E7DFD">
        <w:t>Email Backup</w:t>
      </w:r>
      <w:r w:rsidR="00CB70C8">
        <w:t>:</w:t>
      </w:r>
    </w:p>
    <w:p w14:paraId="0C5FE981" w14:textId="7A150A78" w:rsidR="00D64CBF" w:rsidRPr="004E7DFD" w:rsidRDefault="004E7DFD" w:rsidP="0025222F">
      <w:pPr>
        <w:spacing w:after="0" w:line="240" w:lineRule="auto"/>
        <w:rPr>
          <w:szCs w:val="20"/>
        </w:rPr>
      </w:pPr>
      <w:r w:rsidRPr="004E7DFD">
        <w:rPr>
          <w:szCs w:val="20"/>
        </w:rPr>
        <w:t>A</w:t>
      </w:r>
      <w:r w:rsidR="00CB70C8">
        <w:rPr>
          <w:szCs w:val="20"/>
        </w:rPr>
        <w:t>n</w:t>
      </w:r>
      <w:r w:rsidRPr="004E7DFD">
        <w:rPr>
          <w:szCs w:val="20"/>
        </w:rPr>
        <w:t xml:space="preserve"> email feed</w:t>
      </w:r>
      <w:r>
        <w:rPr>
          <w:szCs w:val="20"/>
        </w:rPr>
        <w:t xml:space="preserve"> capability </w:t>
      </w:r>
      <w:r w:rsidRPr="004E7DFD">
        <w:rPr>
          <w:szCs w:val="20"/>
        </w:rPr>
        <w:t xml:space="preserve">will </w:t>
      </w:r>
      <w:r w:rsidR="00E83F50">
        <w:rPr>
          <w:szCs w:val="20"/>
        </w:rPr>
        <w:t>be</w:t>
      </w:r>
      <w:r w:rsidRPr="004E7DFD">
        <w:rPr>
          <w:szCs w:val="20"/>
        </w:rPr>
        <w:t xml:space="preserve"> available for vendors unable</w:t>
      </w:r>
      <w:r w:rsidR="00CB70C8">
        <w:rPr>
          <w:szCs w:val="20"/>
        </w:rPr>
        <w:t xml:space="preserve"> or with inopportune access</w:t>
      </w:r>
      <w:r w:rsidRPr="004E7DFD">
        <w:rPr>
          <w:szCs w:val="20"/>
        </w:rPr>
        <w:t xml:space="preserve"> to the portal</w:t>
      </w:r>
      <w:r>
        <w:rPr>
          <w:szCs w:val="20"/>
        </w:rPr>
        <w:t>.</w:t>
      </w:r>
      <w:r w:rsidR="00CB70C8">
        <w:rPr>
          <w:szCs w:val="20"/>
        </w:rPr>
        <w:t xml:space="preserve"> This will be activated at portal rollout to send the same data-view shown to the vendor in the portal based on the metric configuration chosen by the vendor’s ISM and selections the vendor makes in the portal for their recipients. Legacy email automation will be available as a back-up facility for CPFR reporting during rollout, but will be gradually deactivated in favor of portal-based systems. </w:t>
      </w:r>
    </w:p>
    <w:sectPr w:rsidR="00D64CBF" w:rsidRPr="004E7DFD" w:rsidSect="003C6BE6">
      <w:headerReference w:type="default" r:id="rId9"/>
      <w:footerReference w:type="default" r:id="rId10"/>
      <w:headerReference w:type="first" r:id="rId11"/>
      <w:footerReference w:type="first" r:id="rId12"/>
      <w:pgSz w:w="12240" w:h="15840"/>
      <w:pgMar w:top="576" w:right="576" w:bottom="288" w:left="576" w:header="432" w:footer="432"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0AECD" w14:textId="77777777" w:rsidR="00A50D72" w:rsidRDefault="00A50D72" w:rsidP="00AC1730">
      <w:pPr>
        <w:spacing w:after="0" w:line="240" w:lineRule="auto"/>
      </w:pPr>
      <w:r>
        <w:separator/>
      </w:r>
    </w:p>
  </w:endnote>
  <w:endnote w:type="continuationSeparator" w:id="0">
    <w:p w14:paraId="5C3A1A8A" w14:textId="77777777" w:rsidR="00A50D72" w:rsidRDefault="00A50D72" w:rsidP="00AC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B10EEA3-AA0C-4B42-8C92-D42D23384B18}"/>
    <w:embedBold r:id="rId2" w:fontKey="{EA7C3D79-7D4D-48F9-AA28-8B23C96EE7F7}"/>
    <w:embedItalic r:id="rId3" w:fontKey="{D2987711-0288-4BE5-B6FA-230B2938CA55}"/>
    <w:embedBoldItalic r:id="rId4" w:fontKey="{AD052523-8D5D-47A0-A059-D28A3BC8DA76}"/>
  </w:font>
  <w:font w:name="Aptos Display">
    <w:charset w:val="00"/>
    <w:family w:val="swiss"/>
    <w:pitch w:val="variable"/>
    <w:sig w:usb0="20000287" w:usb1="00000003" w:usb2="00000000" w:usb3="00000000" w:csb0="0000019F" w:csb1="00000000"/>
    <w:embedRegular r:id="rId5" w:fontKey="{E52490F6-B819-44FE-891C-3DA91916ECBA}"/>
    <w:embedBold r:id="rId6" w:fontKey="{898E0D5A-4BA1-43AF-9A92-33424805DB29}"/>
  </w:font>
  <w:font w:name="Aptos Narrow">
    <w:charset w:val="00"/>
    <w:family w:val="swiss"/>
    <w:pitch w:val="variable"/>
    <w:sig w:usb0="20000287" w:usb1="00000003" w:usb2="00000000" w:usb3="00000000" w:csb0="0000019F" w:csb1="00000000"/>
    <w:embedRegular r:id="rId7" w:fontKey="{50DA51B3-4C85-49FC-84AA-FC8DAFC1FFE5}"/>
    <w:embedItalic r:id="rId8" w:fontKey="{5CBE23A8-1916-42D1-B867-7504A70EF3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7BF4" w14:textId="155E1D79" w:rsidR="00AC1730" w:rsidRPr="00D46C6F" w:rsidRDefault="00D46C6F" w:rsidP="00AC1730">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4DF2C5C1" wp14:editId="759960C4">
          <wp:extent cx="873905" cy="274320"/>
          <wp:effectExtent l="0" t="0" r="2540" b="0"/>
          <wp:docPr id="936043144"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w:t>
    </w:r>
    <w:r w:rsidR="00477905">
      <w:rPr>
        <w:sz w:val="18"/>
        <w:szCs w:val="18"/>
      </w:rPr>
      <w:t>1</w:t>
    </w:r>
    <w:r w:rsidRPr="00D46C6F">
      <w:rPr>
        <w:sz w:val="18"/>
        <w:szCs w:val="18"/>
      </w:rPr>
      <w:t>-30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FAB7" w14:textId="283D7E53" w:rsidR="00D0092F" w:rsidRPr="00D46C6F" w:rsidRDefault="00D46C6F" w:rsidP="00D46C6F">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150D549F" wp14:editId="3B74192D">
          <wp:extent cx="873905" cy="274320"/>
          <wp:effectExtent l="0" t="0" r="2540" b="0"/>
          <wp:docPr id="91674501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0BB63" w14:textId="77777777" w:rsidR="00A50D72" w:rsidRDefault="00A50D72" w:rsidP="00AC1730">
      <w:pPr>
        <w:spacing w:after="0" w:line="240" w:lineRule="auto"/>
      </w:pPr>
      <w:r>
        <w:separator/>
      </w:r>
    </w:p>
  </w:footnote>
  <w:footnote w:type="continuationSeparator" w:id="0">
    <w:p w14:paraId="1271A24C" w14:textId="77777777" w:rsidR="00A50D72" w:rsidRDefault="00A50D72" w:rsidP="00AC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8B57" w14:textId="7F3E5561" w:rsidR="00D46C6F" w:rsidRDefault="00D46C6F" w:rsidP="00AC1730">
    <w:pPr>
      <w:pStyle w:val="Header"/>
      <w:tabs>
        <w:tab w:val="clear" w:pos="4680"/>
        <w:tab w:val="clear" w:pos="9360"/>
        <w:tab w:val="center" w:pos="5400"/>
        <w:tab w:val="right" w:pos="108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441D" w14:textId="1095D571" w:rsidR="00D0092F" w:rsidRDefault="00D0092F" w:rsidP="00D46C6F">
    <w:pPr>
      <w:pStyle w:val="Header"/>
      <w:tabs>
        <w:tab w:val="clear" w:pos="4680"/>
        <w:tab w:val="clear" w:pos="9360"/>
        <w:tab w:val="center" w:pos="5400"/>
        <w:tab w:val="right" w:pos="10800"/>
      </w:tabs>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95"/>
    <w:multiLevelType w:val="hybridMultilevel"/>
    <w:tmpl w:val="B838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D07AA"/>
    <w:multiLevelType w:val="hybridMultilevel"/>
    <w:tmpl w:val="747C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F64E3"/>
    <w:multiLevelType w:val="hybridMultilevel"/>
    <w:tmpl w:val="605E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6D3E"/>
    <w:multiLevelType w:val="hybridMultilevel"/>
    <w:tmpl w:val="872E6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D7077"/>
    <w:multiLevelType w:val="hybridMultilevel"/>
    <w:tmpl w:val="BA94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80335"/>
    <w:multiLevelType w:val="hybridMultilevel"/>
    <w:tmpl w:val="81E47C60"/>
    <w:lvl w:ilvl="0" w:tplc="E9CE0F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54D45"/>
    <w:multiLevelType w:val="hybridMultilevel"/>
    <w:tmpl w:val="172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A69AB"/>
    <w:multiLevelType w:val="hybridMultilevel"/>
    <w:tmpl w:val="DBE2FEB0"/>
    <w:lvl w:ilvl="0" w:tplc="EEF4C206">
      <w:numFmt w:val="bullet"/>
      <w:lvlText w:val=""/>
      <w:lvlJc w:val="left"/>
      <w:pPr>
        <w:ind w:left="806" w:hanging="360"/>
      </w:pPr>
      <w:rPr>
        <w:rFonts w:ascii="Symbol" w:eastAsiaTheme="minorHAnsi" w:hAnsi="Symbol" w:cstheme="minorBidi" w:hint="default"/>
        <w:i/>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 w15:restartNumberingAfterBreak="0">
    <w:nsid w:val="304752C9"/>
    <w:multiLevelType w:val="hybridMultilevel"/>
    <w:tmpl w:val="50821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D75E87"/>
    <w:multiLevelType w:val="hybridMultilevel"/>
    <w:tmpl w:val="5E72AB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434B4A21"/>
    <w:multiLevelType w:val="hybridMultilevel"/>
    <w:tmpl w:val="5688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725DC"/>
    <w:multiLevelType w:val="hybridMultilevel"/>
    <w:tmpl w:val="F8069570"/>
    <w:lvl w:ilvl="0" w:tplc="4B64CE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18688E"/>
    <w:multiLevelType w:val="hybridMultilevel"/>
    <w:tmpl w:val="BC4E8D7A"/>
    <w:lvl w:ilvl="0" w:tplc="E9CE0F2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E12E5C"/>
    <w:multiLevelType w:val="multilevel"/>
    <w:tmpl w:val="8A2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95660"/>
    <w:multiLevelType w:val="hybridMultilevel"/>
    <w:tmpl w:val="832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2714E"/>
    <w:multiLevelType w:val="multilevel"/>
    <w:tmpl w:val="063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B2D17"/>
    <w:multiLevelType w:val="hybridMultilevel"/>
    <w:tmpl w:val="FD8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E67C1"/>
    <w:multiLevelType w:val="multilevel"/>
    <w:tmpl w:val="606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43B0B"/>
    <w:multiLevelType w:val="multilevel"/>
    <w:tmpl w:val="A33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90C61"/>
    <w:multiLevelType w:val="hybridMultilevel"/>
    <w:tmpl w:val="F1480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2FA4F99"/>
    <w:multiLevelType w:val="hybridMultilevel"/>
    <w:tmpl w:val="DFF2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821B4"/>
    <w:multiLevelType w:val="hybridMultilevel"/>
    <w:tmpl w:val="78B41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333EF9"/>
    <w:multiLevelType w:val="multilevel"/>
    <w:tmpl w:val="239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A7C6A"/>
    <w:multiLevelType w:val="hybridMultilevel"/>
    <w:tmpl w:val="5F34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221213">
    <w:abstractNumId w:val="17"/>
  </w:num>
  <w:num w:numId="2" w16cid:durableId="918516870">
    <w:abstractNumId w:val="4"/>
  </w:num>
  <w:num w:numId="3" w16cid:durableId="1003901872">
    <w:abstractNumId w:val="22"/>
  </w:num>
  <w:num w:numId="4" w16cid:durableId="512036269">
    <w:abstractNumId w:val="15"/>
  </w:num>
  <w:num w:numId="5" w16cid:durableId="1038504400">
    <w:abstractNumId w:val="18"/>
  </w:num>
  <w:num w:numId="6" w16cid:durableId="297035316">
    <w:abstractNumId w:val="13"/>
  </w:num>
  <w:num w:numId="7" w16cid:durableId="1813789856">
    <w:abstractNumId w:val="7"/>
  </w:num>
  <w:num w:numId="8" w16cid:durableId="732124443">
    <w:abstractNumId w:val="11"/>
  </w:num>
  <w:num w:numId="9" w16cid:durableId="1373843556">
    <w:abstractNumId w:val="9"/>
  </w:num>
  <w:num w:numId="10" w16cid:durableId="1588921592">
    <w:abstractNumId w:val="14"/>
  </w:num>
  <w:num w:numId="11" w16cid:durableId="559708611">
    <w:abstractNumId w:val="3"/>
  </w:num>
  <w:num w:numId="12" w16cid:durableId="260071146">
    <w:abstractNumId w:val="1"/>
  </w:num>
  <w:num w:numId="13" w16cid:durableId="1980305264">
    <w:abstractNumId w:val="23"/>
  </w:num>
  <w:num w:numId="14" w16cid:durableId="802962908">
    <w:abstractNumId w:val="16"/>
  </w:num>
  <w:num w:numId="15" w16cid:durableId="1505588385">
    <w:abstractNumId w:val="6"/>
  </w:num>
  <w:num w:numId="16" w16cid:durableId="424108705">
    <w:abstractNumId w:val="2"/>
  </w:num>
  <w:num w:numId="17" w16cid:durableId="1362903020">
    <w:abstractNumId w:val="5"/>
  </w:num>
  <w:num w:numId="18" w16cid:durableId="162286985">
    <w:abstractNumId w:val="12"/>
  </w:num>
  <w:num w:numId="19" w16cid:durableId="351885017">
    <w:abstractNumId w:val="19"/>
  </w:num>
  <w:num w:numId="20" w16cid:durableId="1675455889">
    <w:abstractNumId w:val="8"/>
  </w:num>
  <w:num w:numId="21" w16cid:durableId="1588885504">
    <w:abstractNumId w:val="21"/>
  </w:num>
  <w:num w:numId="22" w16cid:durableId="720905564">
    <w:abstractNumId w:val="20"/>
  </w:num>
  <w:num w:numId="23" w16cid:durableId="64038373">
    <w:abstractNumId w:val="0"/>
  </w:num>
  <w:num w:numId="24" w16cid:durableId="954558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9A"/>
    <w:rsid w:val="000D00FC"/>
    <w:rsid w:val="00120C86"/>
    <w:rsid w:val="0017095A"/>
    <w:rsid w:val="001B19E3"/>
    <w:rsid w:val="001D1C59"/>
    <w:rsid w:val="001D50D0"/>
    <w:rsid w:val="001E3B13"/>
    <w:rsid w:val="001F6A50"/>
    <w:rsid w:val="00213DDC"/>
    <w:rsid w:val="00224B12"/>
    <w:rsid w:val="0025222F"/>
    <w:rsid w:val="002565C9"/>
    <w:rsid w:val="002B7E2F"/>
    <w:rsid w:val="00316109"/>
    <w:rsid w:val="00356C52"/>
    <w:rsid w:val="00390734"/>
    <w:rsid w:val="003C2571"/>
    <w:rsid w:val="003C2D00"/>
    <w:rsid w:val="003C2F5B"/>
    <w:rsid w:val="003C3269"/>
    <w:rsid w:val="003C6BE6"/>
    <w:rsid w:val="003E656D"/>
    <w:rsid w:val="004120ED"/>
    <w:rsid w:val="00413C4B"/>
    <w:rsid w:val="00420EF5"/>
    <w:rsid w:val="00423515"/>
    <w:rsid w:val="00477905"/>
    <w:rsid w:val="004933F5"/>
    <w:rsid w:val="004E258E"/>
    <w:rsid w:val="004E7DFD"/>
    <w:rsid w:val="005372A4"/>
    <w:rsid w:val="00542130"/>
    <w:rsid w:val="005642B2"/>
    <w:rsid w:val="005733A5"/>
    <w:rsid w:val="00582A8E"/>
    <w:rsid w:val="00626362"/>
    <w:rsid w:val="00647AB9"/>
    <w:rsid w:val="006C78CF"/>
    <w:rsid w:val="006E4789"/>
    <w:rsid w:val="006F56AC"/>
    <w:rsid w:val="00726A58"/>
    <w:rsid w:val="00774A6A"/>
    <w:rsid w:val="0078319C"/>
    <w:rsid w:val="00795A05"/>
    <w:rsid w:val="008208A0"/>
    <w:rsid w:val="00834E22"/>
    <w:rsid w:val="008416BE"/>
    <w:rsid w:val="0088231D"/>
    <w:rsid w:val="00907986"/>
    <w:rsid w:val="009206BA"/>
    <w:rsid w:val="009C24E5"/>
    <w:rsid w:val="00A50D72"/>
    <w:rsid w:val="00A57905"/>
    <w:rsid w:val="00AC1403"/>
    <w:rsid w:val="00AC1730"/>
    <w:rsid w:val="00AF2B5A"/>
    <w:rsid w:val="00B110D7"/>
    <w:rsid w:val="00B426F4"/>
    <w:rsid w:val="00B4621D"/>
    <w:rsid w:val="00B951AE"/>
    <w:rsid w:val="00C01CA7"/>
    <w:rsid w:val="00C21495"/>
    <w:rsid w:val="00C373ED"/>
    <w:rsid w:val="00C94DBE"/>
    <w:rsid w:val="00CB70C8"/>
    <w:rsid w:val="00CC27F2"/>
    <w:rsid w:val="00D00668"/>
    <w:rsid w:val="00D0092F"/>
    <w:rsid w:val="00D27282"/>
    <w:rsid w:val="00D46C6F"/>
    <w:rsid w:val="00D64CBF"/>
    <w:rsid w:val="00DD2D04"/>
    <w:rsid w:val="00E06490"/>
    <w:rsid w:val="00E2756F"/>
    <w:rsid w:val="00E64448"/>
    <w:rsid w:val="00E83F50"/>
    <w:rsid w:val="00EA24EF"/>
    <w:rsid w:val="00EB609A"/>
    <w:rsid w:val="00EB7760"/>
    <w:rsid w:val="00F21C82"/>
    <w:rsid w:val="00F31945"/>
    <w:rsid w:val="00F3243C"/>
    <w:rsid w:val="00F42790"/>
    <w:rsid w:val="00F456A9"/>
    <w:rsid w:val="00F6788A"/>
    <w:rsid w:val="00F755E2"/>
    <w:rsid w:val="00FB2CDB"/>
    <w:rsid w:val="00FC1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1AB5"/>
  <w15:chartTrackingRefBased/>
  <w15:docId w15:val="{72AE96E1-076A-4739-849A-CB997029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789"/>
    <w:pPr>
      <w:spacing w:before="120" w:after="120" w:line="264" w:lineRule="auto"/>
    </w:pPr>
    <w:rPr>
      <w:sz w:val="20"/>
    </w:rPr>
  </w:style>
  <w:style w:type="paragraph" w:styleId="Heading1">
    <w:name w:val="heading 1"/>
    <w:basedOn w:val="Normal"/>
    <w:next w:val="Normal"/>
    <w:link w:val="Heading1Char"/>
    <w:uiPriority w:val="9"/>
    <w:qFormat/>
    <w:rsid w:val="00C373ED"/>
    <w:pPr>
      <w:keepNext/>
      <w:keepLines/>
      <w:pBdr>
        <w:top w:val="single" w:sz="12" w:space="1" w:color="auto"/>
      </w:pBdr>
      <w:spacing w:before="360" w:after="240"/>
      <w:outlineLvl w:val="0"/>
    </w:pPr>
    <w:rPr>
      <w:rFonts w:asciiTheme="majorHAnsi" w:eastAsiaTheme="majorEastAsia" w:hAnsiTheme="majorHAnsi" w:cstheme="majorBidi"/>
      <w:b/>
      <w:sz w:val="22"/>
      <w:szCs w:val="40"/>
    </w:rPr>
  </w:style>
  <w:style w:type="paragraph" w:styleId="Heading2">
    <w:name w:val="heading 2"/>
    <w:basedOn w:val="Normal"/>
    <w:next w:val="Normal"/>
    <w:link w:val="Heading2Char"/>
    <w:uiPriority w:val="9"/>
    <w:unhideWhenUsed/>
    <w:qFormat/>
    <w:rsid w:val="00C373ED"/>
    <w:pPr>
      <w:keepNext/>
      <w:keepLines/>
      <w:spacing w:before="240" w:after="160"/>
      <w:outlineLvl w:val="1"/>
    </w:pPr>
    <w:rPr>
      <w:rFonts w:asciiTheme="majorHAnsi" w:eastAsiaTheme="majorEastAsia" w:hAnsiTheme="majorHAnsi" w:cstheme="majorBidi"/>
      <w:b/>
      <w:sz w:val="22"/>
      <w:szCs w:val="32"/>
    </w:rPr>
  </w:style>
  <w:style w:type="paragraph" w:styleId="Heading3">
    <w:name w:val="heading 3"/>
    <w:basedOn w:val="Normal"/>
    <w:next w:val="Normal"/>
    <w:link w:val="Heading3Char"/>
    <w:uiPriority w:val="9"/>
    <w:unhideWhenUsed/>
    <w:qFormat/>
    <w:rsid w:val="00C373ED"/>
    <w:pPr>
      <w:keepNext/>
      <w:keepLines/>
      <w:tabs>
        <w:tab w:val="left" w:pos="360"/>
      </w:tabs>
      <w:spacing w:before="160" w:after="16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C373ED"/>
    <w:pPr>
      <w:keepNext/>
      <w:keepLines/>
      <w:spacing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C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3ED"/>
    <w:rPr>
      <w:rFonts w:asciiTheme="majorHAnsi" w:eastAsiaTheme="majorEastAsia" w:hAnsiTheme="majorHAnsi" w:cstheme="majorBidi"/>
      <w:b/>
      <w:sz w:val="22"/>
      <w:szCs w:val="40"/>
    </w:rPr>
  </w:style>
  <w:style w:type="character" w:customStyle="1" w:styleId="Heading2Char">
    <w:name w:val="Heading 2 Char"/>
    <w:basedOn w:val="DefaultParagraphFont"/>
    <w:link w:val="Heading2"/>
    <w:uiPriority w:val="9"/>
    <w:rsid w:val="00C373ED"/>
    <w:rPr>
      <w:rFonts w:asciiTheme="majorHAnsi" w:eastAsiaTheme="majorEastAsia" w:hAnsiTheme="majorHAnsi" w:cstheme="majorBidi"/>
      <w:b/>
      <w:sz w:val="22"/>
      <w:szCs w:val="32"/>
    </w:rPr>
  </w:style>
  <w:style w:type="character" w:customStyle="1" w:styleId="Heading3Char">
    <w:name w:val="Heading 3 Char"/>
    <w:basedOn w:val="DefaultParagraphFont"/>
    <w:link w:val="Heading3"/>
    <w:uiPriority w:val="9"/>
    <w:rsid w:val="00C373ED"/>
    <w:rPr>
      <w:rFonts w:eastAsiaTheme="majorEastAsia" w:cstheme="majorBidi"/>
      <w:i/>
      <w:sz w:val="20"/>
      <w:szCs w:val="28"/>
    </w:rPr>
  </w:style>
  <w:style w:type="character" w:customStyle="1" w:styleId="Heading4Char">
    <w:name w:val="Heading 4 Char"/>
    <w:basedOn w:val="DefaultParagraphFont"/>
    <w:link w:val="Heading4"/>
    <w:uiPriority w:val="9"/>
    <w:rsid w:val="00C373ED"/>
    <w:rPr>
      <w:rFonts w:eastAsiaTheme="majorEastAsia" w:cstheme="majorBidi"/>
      <w:b/>
      <w:iCs/>
      <w:sz w:val="20"/>
    </w:rPr>
  </w:style>
  <w:style w:type="character" w:customStyle="1" w:styleId="Heading5Char">
    <w:name w:val="Heading 5 Char"/>
    <w:basedOn w:val="DefaultParagraphFont"/>
    <w:link w:val="Heading5"/>
    <w:uiPriority w:val="9"/>
    <w:semiHidden/>
    <w:rsid w:val="00AC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30"/>
    <w:rPr>
      <w:rFonts w:eastAsiaTheme="majorEastAsia" w:cstheme="majorBidi"/>
      <w:color w:val="272727" w:themeColor="text1" w:themeTint="D8"/>
    </w:rPr>
  </w:style>
  <w:style w:type="paragraph" w:styleId="Title">
    <w:name w:val="Title"/>
    <w:basedOn w:val="Normal"/>
    <w:next w:val="Normal"/>
    <w:link w:val="TitleChar"/>
    <w:uiPriority w:val="10"/>
    <w:qFormat/>
    <w:rsid w:val="00AC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30"/>
    <w:pPr>
      <w:spacing w:before="160"/>
      <w:jc w:val="center"/>
    </w:pPr>
    <w:rPr>
      <w:i/>
      <w:iCs/>
      <w:color w:val="404040" w:themeColor="text1" w:themeTint="BF"/>
    </w:rPr>
  </w:style>
  <w:style w:type="character" w:customStyle="1" w:styleId="QuoteChar">
    <w:name w:val="Quote Char"/>
    <w:basedOn w:val="DefaultParagraphFont"/>
    <w:link w:val="Quote"/>
    <w:uiPriority w:val="29"/>
    <w:rsid w:val="00AC1730"/>
    <w:rPr>
      <w:i/>
      <w:iCs/>
      <w:color w:val="404040" w:themeColor="text1" w:themeTint="BF"/>
    </w:rPr>
  </w:style>
  <w:style w:type="paragraph" w:styleId="ListParagraph">
    <w:name w:val="List Paragraph"/>
    <w:basedOn w:val="Normal"/>
    <w:uiPriority w:val="34"/>
    <w:qFormat/>
    <w:rsid w:val="00C373ED"/>
    <w:pPr>
      <w:ind w:left="720"/>
      <w:contextualSpacing/>
    </w:pPr>
  </w:style>
  <w:style w:type="character" w:styleId="IntenseEmphasis">
    <w:name w:val="Intense Emphasis"/>
    <w:basedOn w:val="DefaultParagraphFont"/>
    <w:uiPriority w:val="21"/>
    <w:qFormat/>
    <w:rsid w:val="00AC1730"/>
    <w:rPr>
      <w:i/>
      <w:iCs/>
      <w:color w:val="0F4761" w:themeColor="accent1" w:themeShade="BF"/>
    </w:rPr>
  </w:style>
  <w:style w:type="paragraph" w:styleId="IntenseQuote">
    <w:name w:val="Intense Quote"/>
    <w:basedOn w:val="Normal"/>
    <w:next w:val="Normal"/>
    <w:link w:val="IntenseQuoteChar"/>
    <w:uiPriority w:val="30"/>
    <w:qFormat/>
    <w:rsid w:val="00AC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30"/>
    <w:rPr>
      <w:i/>
      <w:iCs/>
      <w:color w:val="0F4761" w:themeColor="accent1" w:themeShade="BF"/>
    </w:rPr>
  </w:style>
  <w:style w:type="character" w:styleId="IntenseReference">
    <w:name w:val="Intense Reference"/>
    <w:basedOn w:val="DefaultParagraphFont"/>
    <w:uiPriority w:val="32"/>
    <w:qFormat/>
    <w:rsid w:val="00AC1730"/>
    <w:rPr>
      <w:b/>
      <w:bCs/>
      <w:smallCaps/>
      <w:color w:val="0F4761" w:themeColor="accent1" w:themeShade="BF"/>
      <w:spacing w:val="5"/>
    </w:rPr>
  </w:style>
  <w:style w:type="paragraph" w:styleId="Header">
    <w:name w:val="header"/>
    <w:basedOn w:val="Normal"/>
    <w:link w:val="HeaderChar"/>
    <w:uiPriority w:val="99"/>
    <w:unhideWhenUsed/>
    <w:rsid w:val="00AC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730"/>
  </w:style>
  <w:style w:type="paragraph" w:styleId="Footer">
    <w:name w:val="footer"/>
    <w:basedOn w:val="Normal"/>
    <w:link w:val="FooterChar"/>
    <w:uiPriority w:val="99"/>
    <w:unhideWhenUsed/>
    <w:rsid w:val="00AC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730"/>
  </w:style>
  <w:style w:type="character" w:styleId="LineNumber">
    <w:name w:val="line number"/>
    <w:basedOn w:val="DefaultParagraphFont"/>
    <w:uiPriority w:val="99"/>
    <w:semiHidden/>
    <w:unhideWhenUsed/>
    <w:rsid w:val="00EB609A"/>
    <w:rPr>
      <w:color w:val="7F7F7F" w:themeColor="text1" w:themeTint="80"/>
      <w:sz w:val="18"/>
    </w:rPr>
  </w:style>
  <w:style w:type="character" w:styleId="Strong">
    <w:name w:val="Strong"/>
    <w:basedOn w:val="DefaultParagraphFont"/>
    <w:uiPriority w:val="22"/>
    <w:qFormat/>
    <w:rsid w:val="00D0092F"/>
    <w:rPr>
      <w:b/>
      <w:bCs/>
    </w:rPr>
  </w:style>
  <w:style w:type="character" w:styleId="CommentReference">
    <w:name w:val="annotation reference"/>
    <w:basedOn w:val="DefaultParagraphFont"/>
    <w:uiPriority w:val="99"/>
    <w:semiHidden/>
    <w:unhideWhenUsed/>
    <w:rsid w:val="004E258E"/>
    <w:rPr>
      <w:sz w:val="16"/>
      <w:szCs w:val="16"/>
    </w:rPr>
  </w:style>
  <w:style w:type="paragraph" w:styleId="CommentText">
    <w:name w:val="annotation text"/>
    <w:basedOn w:val="Normal"/>
    <w:link w:val="CommentTextChar"/>
    <w:uiPriority w:val="99"/>
    <w:unhideWhenUsed/>
    <w:rsid w:val="004E258E"/>
    <w:pPr>
      <w:spacing w:line="240" w:lineRule="auto"/>
    </w:pPr>
    <w:rPr>
      <w:szCs w:val="20"/>
    </w:rPr>
  </w:style>
  <w:style w:type="character" w:customStyle="1" w:styleId="CommentTextChar">
    <w:name w:val="Comment Text Char"/>
    <w:basedOn w:val="DefaultParagraphFont"/>
    <w:link w:val="CommentText"/>
    <w:uiPriority w:val="99"/>
    <w:rsid w:val="004E258E"/>
    <w:rPr>
      <w:sz w:val="20"/>
      <w:szCs w:val="20"/>
    </w:rPr>
  </w:style>
  <w:style w:type="paragraph" w:styleId="CommentSubject">
    <w:name w:val="annotation subject"/>
    <w:basedOn w:val="CommentText"/>
    <w:next w:val="CommentText"/>
    <w:link w:val="CommentSubjectChar"/>
    <w:uiPriority w:val="99"/>
    <w:semiHidden/>
    <w:unhideWhenUsed/>
    <w:rsid w:val="004E258E"/>
    <w:rPr>
      <w:b/>
      <w:bCs/>
    </w:rPr>
  </w:style>
  <w:style w:type="character" w:customStyle="1" w:styleId="CommentSubjectChar">
    <w:name w:val="Comment Subject Char"/>
    <w:basedOn w:val="CommentTextChar"/>
    <w:link w:val="CommentSubject"/>
    <w:uiPriority w:val="99"/>
    <w:semiHidden/>
    <w:rsid w:val="004E25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A19E1-B58D-4A1B-B65F-3C4EE75DAD0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28</TotalTime>
  <Pages>7</Pages>
  <Words>3163</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6</cp:revision>
  <dcterms:created xsi:type="dcterms:W3CDTF">2025-12-01T09:05:00Z</dcterms:created>
  <dcterms:modified xsi:type="dcterms:W3CDTF">2025-12-01T09:30:00Z</dcterms:modified>
</cp:coreProperties>
</file>