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FF18B" w14:textId="417468C2" w:rsidR="00A6601D" w:rsidRDefault="00F95A66">
      <w:pPr>
        <w:pStyle w:val="Heading1"/>
      </w:pPr>
      <w:r>
        <w:t>CP</w:t>
      </w:r>
      <w:r w:rsidR="00906CEF">
        <w:t>FR</w:t>
      </w:r>
      <w:r>
        <w:t>-in-CP</w:t>
      </w:r>
      <w:r w:rsidR="00906CEF">
        <w:t>H</w:t>
      </w:r>
      <w:r>
        <w:t>: Program Overview</w:t>
      </w:r>
    </w:p>
    <w:p w14:paraId="456FF18C" w14:textId="692D0F4B" w:rsidR="00A6601D" w:rsidRDefault="00F95A66">
      <w:pPr>
        <w:spacing w:before="120" w:after="120" w:line="264" w:lineRule="auto"/>
      </w:pPr>
      <w:r>
        <w:rPr>
          <w:b/>
          <w:bCs/>
        </w:rPr>
        <w:t xml:space="preserve">Executive Summary. </w:t>
      </w:r>
      <w:r>
        <w:t>The CP</w:t>
      </w:r>
      <w:r w:rsidR="00906CEF">
        <w:t>FR</w:t>
      </w:r>
      <w:r>
        <w:t>-in-CP</w:t>
      </w:r>
      <w:r w:rsidR="00906CEF">
        <w:t>H</w:t>
      </w:r>
      <w:r>
        <w:t xml:space="preserve"> initiative is Chewy's path to transforming how 3,115 (and growing) vendor partners access supply-chain data. Today, a weekly email cadence distributes proprietary replenishment data to an enrolled vendor base that is projected to reach 4,200 by end of 2026</w:t>
      </w:r>
      <w:r w:rsidR="00170E28">
        <w:t>—</w:t>
      </w:r>
      <w:r>
        <w:t>a model that does not scale</w:t>
      </w:r>
      <w:r w:rsidR="00DA79F4">
        <w:t xml:space="preserve"> evenly</w:t>
      </w:r>
      <w:r>
        <w:t>, concentrat</w:t>
      </w:r>
      <w:r w:rsidR="00DA79F4">
        <w:t>ing</w:t>
      </w:r>
      <w:r>
        <w:t xml:space="preserve"> data-management liability inside Chewy, and leav</w:t>
      </w:r>
      <w:r w:rsidR="00DA79F4">
        <w:t>ing</w:t>
      </w:r>
      <w:r>
        <w:t xml:space="preserve"> us structurally behind Amazon Vendor Central and Walmart Luminate. The program's answer is to embed CPFR</w:t>
      </w:r>
      <w:r w:rsidR="00DA79F4">
        <w:t>—</w:t>
      </w:r>
      <w:r>
        <w:t>and the parallel Vendor Compliance program</w:t>
      </w:r>
      <w:r w:rsidR="00DA79F4">
        <w:t>—</w:t>
      </w:r>
      <w:r>
        <w:t>into Chewy Partner Hub (CPH), Chewy's vendor-facing portal, backed by a governed daily-refresh Snowflake data platform built by the Supply-Chain B.I. Engineering team. After a 2026 delivery did not materialize from the CPH team, the program executed an MVP pivot that extracts backend engineering from CPH's backlog and distributes it to committed teams: Jeremy Wartnick's Replen Engineering team for VC/CB connective apps, and Stefan Scrafield's SC-BIE team for CPFR dashboard-layer backend. What remains for CP</w:t>
      </w:r>
      <w:r>
        <w:t>H is a narrow front-end scope, and the program is now fully oriented toward a 2027 OP1 submission in June/July 2026. The quantified annual benefit floor is $1.4M; the stronger arguments are structural</w:t>
      </w:r>
      <w:r w:rsidR="00646ECC">
        <w:t>—</w:t>
      </w:r>
      <w:r>
        <w:t>liability transfer and competitive parity</w:t>
      </w:r>
      <w:r w:rsidR="00646ECC">
        <w:t>—</w:t>
      </w:r>
      <w:r>
        <w:t>and neither diminishes with time.</w:t>
      </w:r>
    </w:p>
    <w:p w14:paraId="456FF18D" w14:textId="3F17BF5C" w:rsidR="00A6601D" w:rsidRDefault="00F95A66">
      <w:pPr>
        <w:pStyle w:val="Heading2"/>
      </w:pPr>
      <w:r>
        <w:t>1.</w:t>
      </w:r>
      <w:r>
        <w:t xml:space="preserve"> </w:t>
      </w:r>
      <w:r>
        <w:t>The CP</w:t>
      </w:r>
      <w:r w:rsidR="00906CEF">
        <w:t>FR</w:t>
      </w:r>
      <w:r>
        <w:t>-in-CP</w:t>
      </w:r>
      <w:r w:rsidR="00906CEF">
        <w:t>H</w:t>
      </w:r>
      <w:r>
        <w:t xml:space="preserve"> Initiative</w:t>
      </w:r>
    </w:p>
    <w:p w14:paraId="456FF18E" w14:textId="77777777" w:rsidR="00A6601D" w:rsidRDefault="00F95A66">
      <w:pPr>
        <w:pStyle w:val="Heading3"/>
      </w:pPr>
      <w:r>
        <w:t>Program Timeline</w:t>
      </w:r>
    </w:p>
    <w:p w14:paraId="456FF18F" w14:textId="598F6A1A" w:rsidR="00A6601D" w:rsidRDefault="00F95A66" w:rsidP="00150E10">
      <w:pPr>
        <w:pStyle w:val="ListBullet"/>
      </w:pPr>
      <w:r>
        <w:t>~3 years ago: CPFR formalized at Chewy as a center of excellence within the Instock team; automated weekly reporting</w:t>
      </w:r>
      <w:r w:rsidR="00646ECC">
        <w:t xml:space="preserve">, and </w:t>
      </w:r>
      <w:r>
        <w:t>~1,685 enrolled vendors</w:t>
      </w:r>
      <w:r w:rsidR="00646ECC">
        <w:t xml:space="preserve"> were</w:t>
      </w:r>
      <w:r>
        <w:t xml:space="preserve"> stood up</w:t>
      </w:r>
      <w:r w:rsidR="00646ECC">
        <w:t xml:space="preserve"> in the initial program</w:t>
      </w:r>
      <w:r>
        <w:t>.</w:t>
      </w:r>
    </w:p>
    <w:p w14:paraId="456FF190" w14:textId="12F96D0E" w:rsidR="00A6601D" w:rsidRDefault="00F95A66" w:rsidP="00150E10">
      <w:pPr>
        <w:pStyle w:val="ListBullet"/>
      </w:pPr>
      <w:r>
        <w:t xml:space="preserve">2 years </w:t>
      </w:r>
      <w:r w:rsidR="00170E28">
        <w:t>ago,</w:t>
      </w:r>
      <w:r>
        <w:t xml:space="preserve"> to present: Reporting automation matured (Tier 1 fully automated; Tier 4 deprecated); vendor enrollment scaled to 3,115 with active growth toward ~4,200 by EOY 2026.</w:t>
      </w:r>
    </w:p>
    <w:p w14:paraId="456FF191" w14:textId="1497F0DC" w:rsidR="00A6601D" w:rsidRDefault="00646ECC" w:rsidP="00150E10">
      <w:pPr>
        <w:pStyle w:val="ListBullet"/>
      </w:pPr>
      <w:r>
        <w:t>Jan</w:t>
      </w:r>
      <w:r w:rsidR="00F95A66">
        <w:t xml:space="preserve"> 2026: CPFR and Vendor Compliance BRDs merged under a shared CPH framework; Nathan Miles (CPFR) and Nathan Nelson (VC) named as joint owners.</w:t>
      </w:r>
    </w:p>
    <w:p w14:paraId="456FF192" w14:textId="6A497BFE" w:rsidR="00A6601D" w:rsidRDefault="00F95A66" w:rsidP="00150E10">
      <w:pPr>
        <w:pStyle w:val="ListBullet"/>
      </w:pPr>
      <w:r>
        <w:t>2025 OP1 cycle: Submission did not receive funding</w:t>
      </w:r>
      <w:r w:rsidR="00646ECC">
        <w:t xml:space="preserve">—the CPH Vendor-facing Instock tools were </w:t>
      </w:r>
      <w:r>
        <w:t>not rejected on merit; timing competed against a higher volume of existing commitments in that cycle.</w:t>
      </w:r>
    </w:p>
    <w:p w14:paraId="456FF193" w14:textId="5EE0DD29" w:rsidR="00A6601D" w:rsidRDefault="00F95A66" w:rsidP="00150E10">
      <w:pPr>
        <w:pStyle w:val="ListBullet"/>
      </w:pPr>
      <w:r>
        <w:t>2026: CPH team committed to allocation-based delivery at multiple checkpoints; delivery did not materialize. MVP reframe redistributes backend engineering to committed teams (see Section 3)</w:t>
      </w:r>
      <w:r w:rsidR="00646ECC">
        <w:t>, reducing CPH’s purported level of integration effort while meaningfully moving the backend elements under supply-chain control.</w:t>
      </w:r>
    </w:p>
    <w:p w14:paraId="456FF194" w14:textId="77777777" w:rsidR="00A6601D" w:rsidRDefault="00F95A66">
      <w:pPr>
        <w:pStyle w:val="Heading3"/>
      </w:pPr>
      <w:r>
        <w:t>The Problem at Scale</w:t>
      </w:r>
    </w:p>
    <w:p w14:paraId="456FF195" w14:textId="752A44AA" w:rsidR="00A6601D" w:rsidRDefault="00F95A66">
      <w:pPr>
        <w:spacing w:before="120" w:after="120" w:line="264" w:lineRule="auto"/>
      </w:pPr>
      <w:r>
        <w:t>CPFR's current operating model was designed for hundreds of vendors. At 3,</w:t>
      </w:r>
      <w:r>
        <w:t>115</w:t>
      </w:r>
      <w:r w:rsidR="00646ECC">
        <w:t>—</w:t>
      </w:r>
      <w:r>
        <w:t>with line of sight to 4,200 by end of year</w:t>
      </w:r>
      <w:r w:rsidR="00646ECC">
        <w:t xml:space="preserve">, </w:t>
      </w:r>
      <w:r>
        <w:t>three structural problems compound with every new vendor enrolled.</w:t>
      </w:r>
    </w:p>
    <w:p w14:paraId="456FF196" w14:textId="53CCD5FB" w:rsidR="00A6601D" w:rsidRDefault="00F95A66" w:rsidP="00150E10">
      <w:pPr>
        <w:pStyle w:val="ListBullet"/>
      </w:pPr>
      <w:r w:rsidRPr="00646ECC">
        <w:rPr>
          <w:b/>
          <w:bCs/>
        </w:rPr>
        <w:t>Manual contact management and liability exposure.</w:t>
      </w:r>
      <w:r>
        <w:t xml:space="preserve"> Chewy TMs are responsible for configuring and maintaining the vendor contact lists used to distribute sensitive, vendor-specific supply-chain data. Configuration accuracy is a prerequisite for data security</w:t>
      </w:r>
      <w:r w:rsidR="00150E10">
        <w:t>, and t</w:t>
      </w:r>
      <w:r>
        <w:t>he probability and blast radius of misconfiguration grow with scale. Inappropriate data releases have already occurred elsewhere in the org</w:t>
      </w:r>
      <w:r w:rsidR="00646ECC">
        <w:t>—</w:t>
      </w:r>
      <w:r>
        <w:t>the CPFR team was not responsible</w:t>
      </w:r>
      <w:r w:rsidR="00646ECC">
        <w:t>—</w:t>
      </w:r>
      <w:r>
        <w:t>but the structural exposure is identical. There is no technical control that fully prevents this at current scale.</w:t>
      </w:r>
    </w:p>
    <w:p w14:paraId="456FF197" w14:textId="550BD58C" w:rsidR="00A6601D" w:rsidRDefault="00F95A66" w:rsidP="00150E10">
      <w:pPr>
        <w:pStyle w:val="ListBullet"/>
      </w:pPr>
      <w:r w:rsidRPr="00646ECC">
        <w:rPr>
          <w:b/>
          <w:bCs/>
        </w:rPr>
        <w:t>No on-demand data access.</w:t>
      </w:r>
      <w:r>
        <w:t xml:space="preserve"> Reports go out Monday morning. If supply-chain conditions change Tuesday, vendors wait until the following Monday for updated data</w:t>
      </w:r>
      <w:r w:rsidR="00646ECC">
        <w:t xml:space="preserve">, </w:t>
      </w:r>
      <w:r>
        <w:t>or pull ISM time for a spot</w:t>
      </w:r>
      <w:r w:rsidR="00646ECC">
        <w:t>-</w:t>
      </w:r>
      <w:r>
        <w:t>report. At current enrollment, that demand is</w:t>
      </w:r>
      <w:r w:rsidR="00646ECC">
        <w:t xml:space="preserve"> a</w:t>
      </w:r>
      <w:r>
        <w:t xml:space="preserve"> </w:t>
      </w:r>
      <w:r w:rsidR="00646ECC">
        <w:t xml:space="preserve">drain, but </w:t>
      </w:r>
      <w:r>
        <w:t xml:space="preserve">manageable. At 4,200 vendors, it is a sustained capacity </w:t>
      </w:r>
      <w:r w:rsidR="00646ECC">
        <w:t>issue for</w:t>
      </w:r>
      <w:r>
        <w:t xml:space="preserve"> a</w:t>
      </w:r>
      <w:r w:rsidR="00646ECC">
        <w:t xml:space="preserve"> relatively</w:t>
      </w:r>
      <w:r>
        <w:t xml:space="preserve"> small team.</w:t>
      </w:r>
      <w:r w:rsidR="00646ECC">
        <w:t xml:space="preserve"> Additionally, without vendor on-demand access, it becomes essentially impossible to delegate “monitor and respond” instructions to vendors, unless they line-up with Monday reporting or </w:t>
      </w:r>
      <w:r w:rsidR="00FD2600">
        <w:t>the concern</w:t>
      </w:r>
      <w:r w:rsidR="00646ECC">
        <w:t xml:space="preserve"> can wait a whole week.</w:t>
      </w:r>
    </w:p>
    <w:p w14:paraId="456FF198" w14:textId="378F151C" w:rsidR="00A6601D" w:rsidRDefault="00F95A66" w:rsidP="00150E10">
      <w:pPr>
        <w:pStyle w:val="ListBullet"/>
      </w:pPr>
      <w:r w:rsidRPr="00646ECC">
        <w:rPr>
          <w:b/>
          <w:bCs/>
        </w:rPr>
        <w:t>Competitive disadvantage.</w:t>
      </w:r>
      <w:r>
        <w:t xml:space="preserve"> Amazon Vendor Central and Walmart Luminate both offer daily-refreshed, on-demand data access</w:t>
      </w:r>
      <w:r w:rsidR="00FD2600">
        <w:t>—</w:t>
      </w:r>
      <w:r>
        <w:t xml:space="preserve">in some respects more robust than what this program is </w:t>
      </w:r>
      <w:r w:rsidR="00FD2600">
        <w:t xml:space="preserve">even </w:t>
      </w:r>
      <w:r>
        <w:t xml:space="preserve">requesting. Daily data cadence and portal self-service are the most-requested features across the enrolled vendor base, named explicitly </w:t>
      </w:r>
      <w:r w:rsidR="00FD2600">
        <w:t>by vendors across all tiers</w:t>
      </w:r>
      <w:r>
        <w:t>. Every year of inaction is a year Chewy lags its largest retail competitors on vendor data experience.</w:t>
      </w:r>
    </w:p>
    <w:p w14:paraId="456FF199" w14:textId="77777777" w:rsidR="00A6601D" w:rsidRDefault="00F95A66">
      <w:pPr>
        <w:pStyle w:val="Heading3"/>
      </w:pPr>
      <w:r>
        <w:t>The CPH Decision</w:t>
      </w:r>
    </w:p>
    <w:p w14:paraId="456FF19A" w14:textId="3FD82C24" w:rsidR="00A6601D" w:rsidRDefault="00F95A66">
      <w:pPr>
        <w:spacing w:before="120" w:after="120" w:line="264" w:lineRule="auto"/>
      </w:pPr>
      <w:r>
        <w:lastRenderedPageBreak/>
        <w:t>CPH</w:t>
      </w:r>
      <w:r w:rsidR="00FD2600">
        <w:t xml:space="preserve"> (</w:t>
      </w:r>
      <w:r>
        <w:t>Chewy Partner Hub</w:t>
      </w:r>
      <w:r w:rsidR="00FD2600">
        <w:t xml:space="preserve">) </w:t>
      </w:r>
      <w:r>
        <w:t xml:space="preserve">is Chewy's analog to Amazon Vendor Central: </w:t>
      </w:r>
      <w:r w:rsidR="007F1592">
        <w:t>a</w:t>
      </w:r>
      <w:r>
        <w:t xml:space="preserve"> </w:t>
      </w:r>
      <w:r w:rsidR="00170E28">
        <w:t>single-entry</w:t>
      </w:r>
      <w:r>
        <w:t xml:space="preserve"> point for vendor-facing digital tools and information. Rather than building a parallel CPFR portal alongside a separate VC portal, the program made an early decision to embed both programs into CPH. The rationale is </w:t>
      </w:r>
      <w:r w:rsidR="00150E10">
        <w:t>two</w:t>
      </w:r>
      <w:r>
        <w:t xml:space="preserve">fold: </w:t>
      </w:r>
      <w:r w:rsidR="00150E10">
        <w:t xml:space="preserve">1) a single </w:t>
      </w:r>
      <w:r>
        <w:t xml:space="preserve">vendor </w:t>
      </w:r>
      <w:r w:rsidR="007F1592">
        <w:t>“</w:t>
      </w:r>
      <w:r>
        <w:t>front door</w:t>
      </w:r>
      <w:r w:rsidR="007F1592">
        <w:t>” for Instock</w:t>
      </w:r>
      <w:r>
        <w:t xml:space="preserve"> (</w:t>
      </w:r>
      <w:r w:rsidR="00150E10">
        <w:t>a standing directive from Retail Product Management); and</w:t>
      </w:r>
      <w:r>
        <w:t xml:space="preserve"> </w:t>
      </w:r>
      <w:r w:rsidR="00150E10">
        <w:t xml:space="preserve">2) </w:t>
      </w:r>
      <w:r>
        <w:t xml:space="preserve">shared </w:t>
      </w:r>
      <w:r>
        <w:t>use of CPH's existing authentication, role-based access</w:t>
      </w:r>
      <w:r w:rsidR="00150E10">
        <w:t>.</w:t>
      </w:r>
    </w:p>
    <w:p w14:paraId="456FF19B" w14:textId="769A4A1E" w:rsidR="00A6601D" w:rsidRDefault="00F95A66">
      <w:pPr>
        <w:spacing w:before="120" w:after="120" w:line="264" w:lineRule="auto"/>
      </w:pPr>
      <w:r>
        <w:t>The architecture has two distinct layers. The backend</w:t>
      </w:r>
      <w:r w:rsidR="00FD2600">
        <w:t>—</w:t>
      </w:r>
      <w:r>
        <w:t>a governed Snowflake semantic layer with daily-refreshed CPFR data, row-level security, and vendor isolation</w:t>
      </w:r>
      <w:r w:rsidR="00FD2600">
        <w:t>—</w:t>
      </w:r>
      <w:r>
        <w:t>is owned by Stefan Scrafield's SC-BIE team and is near readiness at network grain (covering ~98.4% of enrolled vendors). The frontend</w:t>
      </w:r>
      <w:r w:rsidR="00FD2600">
        <w:t>—</w:t>
      </w:r>
      <w:r>
        <w:t>the vendor-facing CPH portal, CPFR data viewer, VC screens, and SSUA</w:t>
      </w:r>
      <w:r w:rsidR="00FD2600">
        <w:t>—</w:t>
      </w:r>
      <w:r>
        <w:t>is the remaining dependency and the subject of the MVP pivot described in Section 3.</w:t>
      </w:r>
    </w:p>
    <w:p w14:paraId="456FF19C" w14:textId="0458A9FF" w:rsidR="00A6601D" w:rsidRDefault="00F95A66">
      <w:pPr>
        <w:pStyle w:val="Heading2"/>
      </w:pPr>
      <w:r>
        <w:t xml:space="preserve">2. </w:t>
      </w:r>
      <w:r>
        <w:t>The Case for Building This</w:t>
      </w:r>
    </w:p>
    <w:p w14:paraId="456FF19D" w14:textId="77777777" w:rsidR="00A6601D" w:rsidRDefault="00F95A66">
      <w:pPr>
        <w:pStyle w:val="Heading3"/>
      </w:pPr>
      <w:r>
        <w:t>The Entitlement Argument</w:t>
      </w:r>
    </w:p>
    <w:p w14:paraId="456FF19E" w14:textId="77777777" w:rsidR="00A6601D" w:rsidRDefault="00F95A66">
      <w:pPr>
        <w:spacing w:before="120" w:after="120" w:line="264" w:lineRule="auto"/>
      </w:pPr>
      <w:r>
        <w:t>The case rests on three layers. The first two are structural and unquantified; the third is quantified and intentionally conservative. The order matters: the financial figure is the floor, not the ceiling.</w:t>
      </w:r>
    </w:p>
    <w:p w14:paraId="456FF19F" w14:textId="24FA12E9" w:rsidR="00A6601D" w:rsidRDefault="00F95A66">
      <w:pPr>
        <w:pStyle w:val="ListParagraph"/>
        <w:numPr>
          <w:ilvl w:val="0"/>
          <w:numId w:val="3"/>
        </w:numPr>
      </w:pPr>
      <w:r>
        <w:rPr>
          <w:b/>
          <w:bCs/>
        </w:rPr>
        <w:t xml:space="preserve">Liability transfer. </w:t>
      </w:r>
      <w:r>
        <w:t>The CPH vendor self-administration module (SSUA) shifts contact management from Chewy TMs to vendors themselves, aligning data ownership with data accountability. This eliminates an entire category of misconfiguration risk that currently grows with every new vendor enrolled. Not building this means retaining indefinite</w:t>
      </w:r>
      <w:r>
        <w:t xml:space="preserve"> liability that scales with the program.</w:t>
      </w:r>
    </w:p>
    <w:p w14:paraId="456FF1A0" w14:textId="1B24852B" w:rsidR="00A6601D" w:rsidRDefault="00F95A66">
      <w:pPr>
        <w:pStyle w:val="ListParagraph"/>
        <w:numPr>
          <w:ilvl w:val="0"/>
          <w:numId w:val="3"/>
        </w:numPr>
      </w:pPr>
      <w:r>
        <w:rPr>
          <w:b/>
          <w:bCs/>
        </w:rPr>
        <w:t xml:space="preserve">Competitive parity and ISM capacity. </w:t>
      </w:r>
      <w:r w:rsidR="00170E28">
        <w:t>Daily refreshed</w:t>
      </w:r>
      <w:r>
        <w:t>, on-demand vendor data access is already standard at Amazon Vendor Central and Walmart Luminate. Vendors have named it explicitly as the feature they most want from Chewy. The weekly cadence creates ISM spot-reporting drag that is already visible and will become acute at 4,200 vendors. The unlock may produce modest per-instance value, but factored across thousands of enrolled partners and compounded over years, it is material</w:t>
      </w:r>
      <w:r w:rsidR="00FD2600">
        <w:t>—</w:t>
      </w:r>
      <w:r>
        <w:t>and the competitive cost of not having it only grows.</w:t>
      </w:r>
    </w:p>
    <w:p w14:paraId="456FF1A1" w14:textId="3D488036" w:rsidR="00A6601D" w:rsidRDefault="00F95A66">
      <w:pPr>
        <w:pStyle w:val="ListParagraph"/>
        <w:numPr>
          <w:ilvl w:val="0"/>
          <w:numId w:val="3"/>
        </w:numPr>
      </w:pPr>
      <w:r>
        <w:rPr>
          <w:b/>
          <w:bCs/>
        </w:rPr>
        <w:t xml:space="preserve">Quantified benefit floor: ~$1.4M per year recurring. </w:t>
      </w:r>
      <w:r>
        <w:t>Three benefit classes are included in the claimed total: Operational Cohesion and Efficiency ($608K</w:t>
      </w:r>
      <w:r w:rsidR="00FD2600">
        <w:t>—</w:t>
      </w:r>
      <w:r>
        <w:t>36 ISMs, 2 hours/week reallocated, fully-burdened), Vendor Enablement and Partnership Expansion ($458K</w:t>
      </w:r>
      <w:r w:rsidR="00FD2600">
        <w:t>—</w:t>
      </w:r>
      <w:r>
        <w:t>friction reduction, faster vendor decisions), and Enterprise Data Alignment ($339K</w:t>
      </w:r>
      <w:r w:rsidR="00FD2600">
        <w:t>—</w:t>
      </w:r>
      <w:r>
        <w:t>data consistency, rework avoidance). A fourth class, Strategic Growth Enablement ($625K), was deliberately excluded: it depends on pro-rata projections that require external validation. Excluding it is a visible statement of intellectual discipline that strengthens the credibility of what is claimed.</w:t>
      </w:r>
    </w:p>
    <w:p w14:paraId="456FF1A2" w14:textId="77777777" w:rsidR="00A6601D" w:rsidRDefault="00F95A66">
      <w:pPr>
        <w:pStyle w:val="Heading3"/>
      </w:pPr>
      <w:r>
        <w:t>The Cost of Inaction</w:t>
      </w:r>
    </w:p>
    <w:p w14:paraId="456FF1A3" w14:textId="57044B30" w:rsidR="00A6601D" w:rsidRDefault="00F95A66" w:rsidP="00150E10">
      <w:pPr>
        <w:pStyle w:val="ListBullet"/>
      </w:pPr>
      <w:r>
        <w:t>Data liability exposure is not static</w:t>
      </w:r>
      <w:r w:rsidR="00170E28">
        <w:t>—</w:t>
      </w:r>
      <w:r>
        <w:t>it grows proportionally with vendor enrollment. At 4,200 vendors, the blast radius of a single misconfiguration event is larger than at 3,115.</w:t>
      </w:r>
    </w:p>
    <w:p w14:paraId="456FF1A4" w14:textId="052A7B22" w:rsidR="00A6601D" w:rsidRDefault="00F95A66" w:rsidP="00150E10">
      <w:pPr>
        <w:pStyle w:val="ListBullet"/>
      </w:pPr>
      <w:r>
        <w:t xml:space="preserve">ISM spot-reporting capacity drain scales directly with the enrolled vendor base. The team is small; </w:t>
      </w:r>
      <w:r>
        <w:t>vendor base is not.</w:t>
      </w:r>
    </w:p>
    <w:p w14:paraId="456FF1A5" w14:textId="77777777" w:rsidR="00A6601D" w:rsidRDefault="00F95A66" w:rsidP="00150E10">
      <w:pPr>
        <w:pStyle w:val="ListBullet"/>
      </w:pPr>
      <w:r>
        <w:t>The competitive gap relative to AVC and Walmart Luminate widens each year. Vendor expectations are set by those platforms, not by Chewy's current model.</w:t>
      </w:r>
    </w:p>
    <w:p w14:paraId="456FF1A6" w14:textId="77777777" w:rsidR="00A6601D" w:rsidRDefault="00F95A66" w:rsidP="00150E10">
      <w:pPr>
        <w:pStyle w:val="ListBullet"/>
      </w:pPr>
      <w:r>
        <w:t>OP1 is a once-per-year submission window. Each cycle without a funded submission is a year of deferred delivery.</w:t>
      </w:r>
    </w:p>
    <w:p w14:paraId="456FF1A7" w14:textId="4896961A" w:rsidR="00A6601D" w:rsidRDefault="00F95A66">
      <w:pPr>
        <w:pStyle w:val="Heading2"/>
      </w:pPr>
      <w:r>
        <w:t xml:space="preserve">3. </w:t>
      </w:r>
      <w:r>
        <w:t>The Current Path</w:t>
      </w:r>
    </w:p>
    <w:p w14:paraId="456FF1A8" w14:textId="77777777" w:rsidR="00A6601D" w:rsidRDefault="00F95A66">
      <w:pPr>
        <w:pStyle w:val="Heading3"/>
      </w:pPr>
      <w:r>
        <w:t>The MVP Pivot</w:t>
      </w:r>
    </w:p>
    <w:p w14:paraId="456FF1A9" w14:textId="77777777" w:rsidR="00A6601D" w:rsidRDefault="00F95A66">
      <w:pPr>
        <w:spacing w:before="120" w:after="120" w:line="264" w:lineRule="auto"/>
      </w:pPr>
      <w:r>
        <w:t>Through 2026, the CPH team signaled willingness to execute under allocation (uncommitted capacity) at several checkpoints. Despite those assurances, no execution materialized. The program responded by restructuring the MVP to remove the backend engineering dependency on CPH entirely.</w:t>
      </w:r>
    </w:p>
    <w:p w14:paraId="456FF1AA" w14:textId="0E53D900" w:rsidR="00A6601D" w:rsidRDefault="00F95A66" w:rsidP="00150E10">
      <w:pPr>
        <w:pStyle w:val="ListBullet"/>
      </w:pPr>
      <w:r>
        <w:t xml:space="preserve">Jeremy Wartnick's Replen Engineering team has committed to building the backend of the VC/CB </w:t>
      </w:r>
      <w:r>
        <w:t>applications.</w:t>
      </w:r>
    </w:p>
    <w:p w14:paraId="456FF1AB" w14:textId="06A68C69" w:rsidR="00A6601D" w:rsidRDefault="00F95A66" w:rsidP="00150E10">
      <w:pPr>
        <w:pStyle w:val="ListBullet"/>
      </w:pPr>
      <w:r>
        <w:t>Stefan</w:t>
      </w:r>
      <w:r w:rsidR="00EF25F9">
        <w:t xml:space="preserve">’s </w:t>
      </w:r>
      <w:r>
        <w:t xml:space="preserve">SC-BIE team has committed to </w:t>
      </w:r>
      <w:r>
        <w:t>CPFR dashboard</w:t>
      </w:r>
      <w:r>
        <w:t xml:space="preserve"> backen</w:t>
      </w:r>
      <w:r w:rsidR="00EF25F9">
        <w:t>d, and</w:t>
      </w:r>
      <w:r>
        <w:t xml:space="preserve"> data platform is on track at network</w:t>
      </w:r>
      <w:r w:rsidR="00EF25F9">
        <w:t xml:space="preserve"> grain.</w:t>
      </w:r>
    </w:p>
    <w:p w14:paraId="456FF1AC" w14:textId="7A260D75" w:rsidR="00A6601D" w:rsidRDefault="00F95A66" w:rsidP="00150E10">
      <w:pPr>
        <w:pStyle w:val="ListBullet"/>
      </w:pPr>
      <w:r>
        <w:lastRenderedPageBreak/>
        <w:t xml:space="preserve">On the CPH side, the ask is now scoped to front-end work only: an iframe page for the CPFR data viewer, and two report-retrieval screens for VC, plus connectivity and vendor login-to-RLS parsing. </w:t>
      </w:r>
    </w:p>
    <w:p w14:paraId="456FF1AD" w14:textId="1C9CA7C0" w:rsidR="00A6601D" w:rsidRDefault="00F95A66" w:rsidP="00150E10">
      <w:pPr>
        <w:pStyle w:val="ListBullet"/>
      </w:pPr>
      <w:r>
        <w:t>In parallel, we are actively influencing the already-approved vendor experience OP1</w:t>
      </w:r>
      <w:r w:rsidR="00170E28">
        <w:t>—</w:t>
      </w:r>
      <w:r>
        <w:t>specifically the CPH SSUA revisions</w:t>
      </w:r>
      <w:r w:rsidR="00170E28">
        <w:t>—</w:t>
      </w:r>
      <w:r>
        <w:t>to be built in a way that is plug-n-play compatible with the shared CPFR/VC vendor contact repository. If it lands as designed, SSUA covers the vendor self-service administration piece</w:t>
      </w:r>
      <w:r w:rsidR="00170E28">
        <w:t>—</w:t>
      </w:r>
      <w:r>
        <w:t>one of the core program goals</w:t>
      </w:r>
      <w:r w:rsidR="00170E28">
        <w:t>—</w:t>
      </w:r>
      <w:r>
        <w:t>and the residual CPH engineering for CPFR becomes minimal. A small amount of additional connection engineering remains for VC, but the scope is low relative to the original.</w:t>
      </w:r>
    </w:p>
    <w:p w14:paraId="456FF1AE" w14:textId="77777777" w:rsidR="00A6601D" w:rsidRDefault="00F95A66">
      <w:pPr>
        <w:pStyle w:val="Heading3"/>
      </w:pPr>
      <w:r>
        <w:t>2027 OP1 Path</w:t>
      </w:r>
    </w:p>
    <w:p w14:paraId="456FF1AF" w14:textId="77777777" w:rsidR="00A6601D" w:rsidRDefault="00F95A66" w:rsidP="00150E10">
      <w:pPr>
        <w:pStyle w:val="ListBullet"/>
      </w:pPr>
      <w:r>
        <w:t>Target: OP1 submission June/July 2026 for 2027 funding.</w:t>
      </w:r>
    </w:p>
    <w:p w14:paraId="456FF1B0" w14:textId="2C30DF0B" w:rsidR="00A6601D" w:rsidRDefault="00F95A66" w:rsidP="00150E10">
      <w:pPr>
        <w:pStyle w:val="ListBullet"/>
      </w:pPr>
      <w:r>
        <w:t>Narrative rebalanced: the LOE denominator is lower (backend engineering distributed to committed teams; CPH ask scoped to front-end only). The intangible ROI pillars</w:t>
      </w:r>
      <w:r w:rsidR="00170E28">
        <w:t>—</w:t>
      </w:r>
      <w:r>
        <w:t>liability transfer and competitive parity</w:t>
      </w:r>
      <w:r w:rsidR="00170E28">
        <w:t>—</w:t>
      </w:r>
      <w:r>
        <w:t>carry more argumentative weight than the quantified floor alone, and do so credibly</w:t>
      </w:r>
      <w:r w:rsidR="00170E28">
        <w:t>,</w:t>
      </w:r>
      <w:r>
        <w:t xml:space="preserve"> given their structural nature.</w:t>
      </w:r>
    </w:p>
    <w:p w14:paraId="456FF1B1" w14:textId="09171134" w:rsidR="00A6601D" w:rsidRDefault="00F95A66" w:rsidP="00150E10">
      <w:pPr>
        <w:pStyle w:val="ListBullet"/>
      </w:pPr>
      <w:r>
        <w:t>PRFAQ in active draft. Roadmap and owner grid in revision. Sr. Director review</w:t>
      </w:r>
      <w:r>
        <w:t xml:space="preserve"> is the next milestone, targeted Q2 2026.</w:t>
      </w:r>
    </w:p>
    <w:p w14:paraId="456FF1B2" w14:textId="3DE196CE" w:rsidR="00A6601D" w:rsidRDefault="00F95A66" w:rsidP="00150E10">
      <w:pPr>
        <w:pStyle w:val="ListBullet"/>
      </w:pPr>
      <w:r>
        <w:t xml:space="preserve">SC-BIE data platform is on track at network grain (~98.4% of </w:t>
      </w:r>
      <w:r>
        <w:t xml:space="preserve">vendors). Tier 1 SKU/FC semantic layer is </w:t>
      </w:r>
      <w:r w:rsidR="00EF25F9">
        <w:t xml:space="preserve">a </w:t>
      </w:r>
      <w:r w:rsidR="00170E28">
        <w:t>fast follow</w:t>
      </w:r>
      <w:r w:rsidR="00EF25F9">
        <w:t>.</w:t>
      </w:r>
    </w:p>
    <w:p w14:paraId="456FF1B5" w14:textId="2BB8B941" w:rsidR="00A6601D" w:rsidRDefault="00F95A66">
      <w:pPr>
        <w:pStyle w:val="Heading2"/>
      </w:pPr>
      <w:r>
        <w:t>FAQ</w:t>
      </w:r>
      <w:r w:rsidR="007F1592">
        <w:t>s</w:t>
      </w:r>
    </w:p>
    <w:p w14:paraId="456FF1B6" w14:textId="5FE2A96D" w:rsidR="00A6601D" w:rsidRDefault="00F95A66">
      <w:pPr>
        <w:pStyle w:val="Heading3"/>
      </w:pPr>
      <w:r>
        <w:t>Program Strategy</w:t>
      </w:r>
    </w:p>
    <w:p w14:paraId="456FF1B7" w14:textId="6287422E" w:rsidR="00A6601D" w:rsidRDefault="00F95A66">
      <w:pPr>
        <w:spacing w:before="120" w:after="120" w:line="264" w:lineRule="auto"/>
      </w:pPr>
      <w:r>
        <w:rPr>
          <w:b/>
          <w:bCs/>
        </w:rPr>
        <w:t xml:space="preserve">Why not just use VDS for this? </w:t>
      </w:r>
      <w:r>
        <w:t>VDS (Vendor Data Services) is a premium</w:t>
      </w:r>
      <w:r w:rsidR="00150E10">
        <w:t xml:space="preserve"> product (</w:t>
      </w:r>
      <w:r>
        <w:t>cost</w:t>
      </w:r>
      <w:r w:rsidR="002338BD">
        <w:t>ing</w:t>
      </w:r>
      <w:r w:rsidR="00150E10">
        <w:t xml:space="preserve"> </w:t>
      </w:r>
      <w:r>
        <w:t>3% of COGS, up to $400K</w:t>
      </w:r>
      <w:r>
        <w:t xml:space="preserve">) </w:t>
      </w:r>
      <w:r w:rsidR="00150E10">
        <w:t>that supplies strategic vendors with a broad range of both merchandising and CPFR metric data.</w:t>
      </w:r>
      <w:r>
        <w:t xml:space="preserve"> CPH-in-CPFR covers the remaining 3,000+ vendors</w:t>
      </w:r>
      <w:r w:rsidR="002338BD">
        <w:t xml:space="preserve"> with CPFR data only, and</w:t>
      </w:r>
      <w:r>
        <w:t xml:space="preserve"> at no per-vendor cost. The two are complementary, not competitive.</w:t>
      </w:r>
    </w:p>
    <w:p w14:paraId="456FF1B8" w14:textId="0A7C7D46" w:rsidR="00A6601D" w:rsidRDefault="00F95A66">
      <w:pPr>
        <w:spacing w:before="120" w:after="120" w:line="264" w:lineRule="auto"/>
      </w:pPr>
      <w:r>
        <w:rPr>
          <w:b/>
          <w:bCs/>
        </w:rPr>
        <w:t xml:space="preserve">Did we fail OP1? </w:t>
      </w:r>
      <w:r>
        <w:t>The submission was not rejected on merit. It competed in a cycle where the volume of existing commitments worked against new initiatives</w:t>
      </w:r>
      <w:r>
        <w:t>, regardless of quality. The PRFAQ was positively received. The 2027 submission is better positioned: lower LOE, more committed engineering resources, and a stronger intangibles argument.</w:t>
      </w:r>
    </w:p>
    <w:p w14:paraId="456FF1B9" w14:textId="67286087" w:rsidR="00A6601D" w:rsidRDefault="00F95A66">
      <w:pPr>
        <w:spacing w:before="120" w:after="120" w:line="264" w:lineRule="auto"/>
      </w:pPr>
      <w:r>
        <w:rPr>
          <w:b/>
          <w:bCs/>
        </w:rPr>
        <w:t xml:space="preserve">Is CPH still the right delivery home after the 2026 decommitment? </w:t>
      </w:r>
      <w:r>
        <w:t>Yes. Sr. Director Richard Neely has a standing requirement for unified vendor experience</w:t>
      </w:r>
      <w:r w:rsidR="002338BD">
        <w:t>, and t</w:t>
      </w:r>
      <w:r>
        <w:t xml:space="preserve">he MVP pivot changes </w:t>
      </w:r>
      <w:r>
        <w:t>backend</w:t>
      </w:r>
      <w:r w:rsidR="00EF25F9">
        <w:t xml:space="preserve"> ownership</w:t>
      </w:r>
      <w:r>
        <w:t>, not where the front door lives.</w:t>
      </w:r>
    </w:p>
    <w:p w14:paraId="456FF1BA" w14:textId="65B86CB2" w:rsidR="00A6601D" w:rsidRDefault="00F95A66">
      <w:pPr>
        <w:pStyle w:val="Heading3"/>
      </w:pPr>
      <w:r>
        <w:t>Engineering and LOE</w:t>
      </w:r>
    </w:p>
    <w:p w14:paraId="456FF1BB" w14:textId="77777777" w:rsidR="00A6601D" w:rsidRDefault="00F95A66">
      <w:pPr>
        <w:spacing w:before="120" w:after="120" w:line="264" w:lineRule="auto"/>
      </w:pPr>
      <w:r>
        <w:rPr>
          <w:b/>
          <w:bCs/>
        </w:rPr>
        <w:t xml:space="preserve">Doesn't this still depend on CPH doing meaningful work? </w:t>
      </w:r>
      <w:r>
        <w:t>Less than before. The backend has been extracted to committed teams. What remains for CPH is front-end only: an iframe page for CPFR, two report-retrieval screens for VC, plus connectivity and login-to-RLS parsing. The SSUA alignment work, if it proceeds as designed, covers the self-service administration piece through the vendor experience OP1 already in flight. The residual ask on CPH engineers is real but materially smaller than the original scope.</w:t>
      </w:r>
    </w:p>
    <w:p w14:paraId="456FF1BC" w14:textId="7269B14B" w:rsidR="00A6601D" w:rsidRDefault="00F95A66">
      <w:pPr>
        <w:spacing w:before="120" w:after="120" w:line="264" w:lineRule="auto"/>
      </w:pPr>
      <w:r>
        <w:rPr>
          <w:b/>
          <w:bCs/>
        </w:rPr>
        <w:t xml:space="preserve">What if the 2027 OP1 also does not land? </w:t>
      </w:r>
      <w:r>
        <w:t>The committed work from Jeremy's team and Stefan's SC-BIE team can proceed regardless. The data platform will be live. The front-end work is the remaining gap</w:t>
      </w:r>
      <w:r w:rsidR="00B679D9">
        <w:t>—</w:t>
      </w:r>
      <w:r>
        <w:t>and at current scope, it is small enough that an allocation-path conversation becomes more credible, not less.</w:t>
      </w:r>
    </w:p>
    <w:p w14:paraId="456FF1BD" w14:textId="761C3C7B" w:rsidR="00A6601D" w:rsidRDefault="00F95A66">
      <w:pPr>
        <w:pStyle w:val="Heading3"/>
      </w:pPr>
      <w:r>
        <w:t>Operations and the Current Cadence</w:t>
      </w:r>
    </w:p>
    <w:p w14:paraId="456FF1BE" w14:textId="7EEBE1CF" w:rsidR="00A6601D" w:rsidRDefault="00F95A66">
      <w:pPr>
        <w:spacing w:before="120" w:after="120" w:line="264" w:lineRule="auto"/>
      </w:pPr>
      <w:r>
        <w:rPr>
          <w:b/>
          <w:bCs/>
        </w:rPr>
        <w:t xml:space="preserve">When do ISMs see relief from spot-reporting requests? </w:t>
      </w:r>
      <w:r>
        <w:t xml:space="preserve">Portal launch is the trigger. The </w:t>
      </w:r>
      <w:r>
        <w:t xml:space="preserve">OP1 path targets delivery in 2027. Until then, </w:t>
      </w:r>
      <w:r>
        <w:t xml:space="preserve">weekly email cadence continues </w:t>
      </w:r>
      <w:r w:rsidR="00170E28">
        <w:t>unchanged,</w:t>
      </w:r>
      <w:r>
        <w:t xml:space="preserve"> and ISMs should expect no change to current workflows.</w:t>
      </w:r>
    </w:p>
    <w:p w14:paraId="456FF1BF" w14:textId="69C85B65" w:rsidR="00A6601D" w:rsidRDefault="00F95A66">
      <w:pPr>
        <w:spacing w:before="120" w:after="120" w:line="264" w:lineRule="auto"/>
      </w:pPr>
      <w:r>
        <w:rPr>
          <w:b/>
          <w:bCs/>
        </w:rPr>
        <w:t xml:space="preserve">Will the weekly email system go away? </w:t>
      </w:r>
      <w:r w:rsidR="00B679D9">
        <w:t xml:space="preserve">No—at least not in the </w:t>
      </w:r>
      <w:r w:rsidR="00170E28">
        <w:t>foreseeable</w:t>
      </w:r>
      <w:r w:rsidR="00B679D9">
        <w:t xml:space="preserve"> future.</w:t>
      </w:r>
      <w:r>
        <w:t xml:space="preserve"> The rollout plan calls for email as a backup facility during the portal transition, deactivated gradually in favor of portal-based delivery. Vendors who cannot or choose not to use the portal will have an email feed option available.</w:t>
      </w:r>
    </w:p>
    <w:p w14:paraId="456FF1C0" w14:textId="2DFD2A51" w:rsidR="00A6601D" w:rsidRDefault="00F95A66">
      <w:pPr>
        <w:spacing w:before="120" w:after="120" w:line="264" w:lineRule="auto"/>
      </w:pPr>
      <w:r>
        <w:rPr>
          <w:b/>
          <w:bCs/>
        </w:rPr>
        <w:t>The entitlement doc mentions a 96% vendor approval rating</w:t>
      </w:r>
      <w:r w:rsidR="00B679D9">
        <w:rPr>
          <w:b/>
          <w:bCs/>
        </w:rPr>
        <w:t>—</w:t>
      </w:r>
      <w:r>
        <w:rPr>
          <w:b/>
          <w:bCs/>
        </w:rPr>
        <w:t xml:space="preserve">what does that mean here? </w:t>
      </w:r>
      <w:r>
        <w:t>That figure reflects vendor satisfaction with the current program, not the portal</w:t>
      </w:r>
      <w:r w:rsidR="00EF25F9">
        <w:t xml:space="preserve"> directly</w:t>
      </w:r>
      <w:r>
        <w:t xml:space="preserve">. It is cited as context for what is at stake: vendor trust built over years of consistent data sharing. A fragmented or poorly executed portal rollout would carry real reputational cost. </w:t>
      </w:r>
    </w:p>
    <w:sectPr w:rsidR="00A6601D">
      <w:headerReference w:type="default" r:id="rId7"/>
      <w:footerReference w:type="default" r:id="rId8"/>
      <w:pgSz w:w="12240" w:h="15840"/>
      <w:pgMar w:top="720" w:right="720" w:bottom="720" w:left="720" w:header="288" w:footer="288" w:gutter="288"/>
      <w:lnNumType w:countBy="1" w:distance="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0B6C3" w14:textId="77777777" w:rsidR="00F95A66" w:rsidRDefault="00F95A66">
      <w:r>
        <w:separator/>
      </w:r>
    </w:p>
  </w:endnote>
  <w:endnote w:type="continuationSeparator" w:id="0">
    <w:p w14:paraId="32A57F6A" w14:textId="77777777" w:rsidR="00F95A66" w:rsidRDefault="00F95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FF1C2" w14:textId="6FDB7F32" w:rsidR="00A6601D" w:rsidRDefault="00F95A66">
    <w:pPr>
      <w:pBdr>
        <w:top w:val="single" w:sz="4" w:space="2" w:color="BFBFBF"/>
      </w:pBdr>
      <w:tabs>
        <w:tab w:val="right" w:pos="10512"/>
      </w:tabs>
      <w:spacing w:before="60"/>
    </w:pPr>
    <w:r>
      <w:rPr>
        <w:color w:val="808080"/>
        <w:sz w:val="16"/>
        <w:szCs w:val="16"/>
      </w:rPr>
      <w:t>Confidential</w:t>
    </w:r>
    <w:r w:rsidR="00170E28">
      <w:rPr>
        <w:color w:val="808080"/>
        <w:sz w:val="16"/>
        <w:szCs w:val="16"/>
      </w:rPr>
      <w:t>—</w:t>
    </w:r>
    <w:r>
      <w:rPr>
        <w:color w:val="808080"/>
        <w:sz w:val="16"/>
        <w:szCs w:val="16"/>
      </w:rPr>
      <w:t>Internal Use Only</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DA79F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EC139" w14:textId="77777777" w:rsidR="00F95A66" w:rsidRDefault="00F95A66">
      <w:r>
        <w:separator/>
      </w:r>
    </w:p>
  </w:footnote>
  <w:footnote w:type="continuationSeparator" w:id="0">
    <w:p w14:paraId="4C1F718D" w14:textId="77777777" w:rsidR="00F95A66" w:rsidRDefault="00F95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FF1C1" w14:textId="4B84909B" w:rsidR="00A6601D" w:rsidRDefault="00F95A66">
    <w:pPr>
      <w:pBdr>
        <w:bottom w:val="single" w:sz="4" w:space="2" w:color="BFBFBF"/>
      </w:pBdr>
      <w:tabs>
        <w:tab w:val="right" w:pos="10512"/>
      </w:tabs>
      <w:spacing w:after="60"/>
    </w:pPr>
    <w:r>
      <w:rPr>
        <w:color w:val="808080"/>
        <w:sz w:val="16"/>
        <w:szCs w:val="16"/>
      </w:rPr>
      <w:t>CPH-in-CPFR Program Overview</w:t>
    </w:r>
    <w:r>
      <w:rPr>
        <w:color w:val="808080"/>
        <w:sz w:val="16"/>
        <w:szCs w:val="16"/>
      </w:rPr>
      <w:tab/>
      <w:t>April 2026</w:t>
    </w:r>
    <w:r w:rsidR="00170E28">
      <w:rPr>
        <w:color w:val="808080"/>
        <w:sz w:val="16"/>
        <w:szCs w:val="16"/>
      </w:rPr>
      <w:t>—</w:t>
    </w:r>
    <w:r>
      <w:rPr>
        <w:color w:val="808080"/>
        <w:sz w:val="16"/>
        <w:szCs w:val="16"/>
      </w:rPr>
      <w:t>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327478"/>
    <w:lvl w:ilvl="0">
      <w:start w:val="1"/>
      <w:numFmt w:val="bullet"/>
      <w:pStyle w:val="ListBullet"/>
      <w:lvlText w:val=""/>
      <w:lvlJc w:val="left"/>
      <w:pPr>
        <w:tabs>
          <w:tab w:val="num" w:pos="288"/>
        </w:tabs>
        <w:ind w:left="288" w:hanging="216"/>
      </w:pPr>
      <w:rPr>
        <w:rFonts w:ascii="Symbol" w:hAnsi="Symbol" w:hint="default"/>
      </w:rPr>
    </w:lvl>
  </w:abstractNum>
  <w:abstractNum w:abstractNumId="1" w15:restartNumberingAfterBreak="0">
    <w:nsid w:val="5EA65D9A"/>
    <w:multiLevelType w:val="hybridMultilevel"/>
    <w:tmpl w:val="69380B02"/>
    <w:lvl w:ilvl="0" w:tplc="C662298A">
      <w:start w:val="1"/>
      <w:numFmt w:val="decimal"/>
      <w:lvlText w:val="%1."/>
      <w:lvlJc w:val="left"/>
      <w:pPr>
        <w:spacing w:before="120" w:after="120" w:line="264" w:lineRule="auto"/>
        <w:ind w:left="360" w:hanging="216"/>
      </w:pPr>
      <w:rPr>
        <w:rFonts w:ascii="Aptos" w:eastAsia="Aptos" w:hAnsi="Aptos" w:cs="Aptos"/>
        <w:sz w:val="20"/>
        <w:szCs w:val="20"/>
      </w:rPr>
    </w:lvl>
    <w:lvl w:ilvl="1" w:tplc="1B8C4322">
      <w:start w:val="1"/>
      <w:numFmt w:val="lowerLetter"/>
      <w:lvlText w:val="%2."/>
      <w:lvlJc w:val="left"/>
      <w:pPr>
        <w:spacing w:before="120" w:after="120" w:line="264" w:lineRule="auto"/>
        <w:ind w:left="576" w:hanging="216"/>
      </w:pPr>
      <w:rPr>
        <w:rFonts w:ascii="Aptos" w:eastAsia="Aptos" w:hAnsi="Aptos" w:cs="Aptos"/>
        <w:sz w:val="20"/>
        <w:szCs w:val="20"/>
      </w:rPr>
    </w:lvl>
    <w:lvl w:ilvl="2" w:tplc="E02472D8">
      <w:start w:val="1"/>
      <w:numFmt w:val="lowerRoman"/>
      <w:lvlText w:val="%3."/>
      <w:lvlJc w:val="left"/>
      <w:pPr>
        <w:spacing w:before="120" w:after="120" w:line="264" w:lineRule="auto"/>
        <w:ind w:left="792" w:hanging="216"/>
      </w:pPr>
      <w:rPr>
        <w:rFonts w:ascii="Aptos" w:eastAsia="Aptos" w:hAnsi="Aptos" w:cs="Aptos"/>
        <w:sz w:val="20"/>
        <w:szCs w:val="20"/>
      </w:rPr>
    </w:lvl>
    <w:lvl w:ilvl="3" w:tplc="37A87B8A">
      <w:numFmt w:val="decimal"/>
      <w:lvlText w:val=""/>
      <w:lvlJc w:val="left"/>
    </w:lvl>
    <w:lvl w:ilvl="4" w:tplc="FB103E6E">
      <w:numFmt w:val="decimal"/>
      <w:lvlText w:val=""/>
      <w:lvlJc w:val="left"/>
    </w:lvl>
    <w:lvl w:ilvl="5" w:tplc="6138109E">
      <w:numFmt w:val="decimal"/>
      <w:lvlText w:val=""/>
      <w:lvlJc w:val="left"/>
    </w:lvl>
    <w:lvl w:ilvl="6" w:tplc="DC6A6340">
      <w:numFmt w:val="decimal"/>
      <w:lvlText w:val=""/>
      <w:lvlJc w:val="left"/>
    </w:lvl>
    <w:lvl w:ilvl="7" w:tplc="0CF4413A">
      <w:numFmt w:val="decimal"/>
      <w:lvlText w:val=""/>
      <w:lvlJc w:val="left"/>
    </w:lvl>
    <w:lvl w:ilvl="8" w:tplc="AABA1408">
      <w:numFmt w:val="decimal"/>
      <w:lvlText w:val=""/>
      <w:lvlJc w:val="left"/>
    </w:lvl>
  </w:abstractNum>
  <w:abstractNum w:abstractNumId="2" w15:restartNumberingAfterBreak="0">
    <w:nsid w:val="72917013"/>
    <w:multiLevelType w:val="hybridMultilevel"/>
    <w:tmpl w:val="5DD6445E"/>
    <w:lvl w:ilvl="0" w:tplc="527827BE">
      <w:start w:val="1"/>
      <w:numFmt w:val="bullet"/>
      <w:lvlText w:val="●"/>
      <w:lvlJc w:val="left"/>
      <w:pPr>
        <w:ind w:left="720" w:hanging="360"/>
      </w:pPr>
    </w:lvl>
    <w:lvl w:ilvl="1" w:tplc="09DCB654">
      <w:start w:val="1"/>
      <w:numFmt w:val="bullet"/>
      <w:lvlText w:val="○"/>
      <w:lvlJc w:val="left"/>
      <w:pPr>
        <w:ind w:left="1440" w:hanging="360"/>
      </w:pPr>
    </w:lvl>
    <w:lvl w:ilvl="2" w:tplc="556EE092">
      <w:start w:val="1"/>
      <w:numFmt w:val="bullet"/>
      <w:lvlText w:val="■"/>
      <w:lvlJc w:val="left"/>
      <w:pPr>
        <w:ind w:left="2160" w:hanging="360"/>
      </w:pPr>
    </w:lvl>
    <w:lvl w:ilvl="3" w:tplc="BEF684B0">
      <w:start w:val="1"/>
      <w:numFmt w:val="bullet"/>
      <w:lvlText w:val="●"/>
      <w:lvlJc w:val="left"/>
      <w:pPr>
        <w:ind w:left="2880" w:hanging="360"/>
      </w:pPr>
    </w:lvl>
    <w:lvl w:ilvl="4" w:tplc="C3A41450">
      <w:start w:val="1"/>
      <w:numFmt w:val="bullet"/>
      <w:lvlText w:val="○"/>
      <w:lvlJc w:val="left"/>
      <w:pPr>
        <w:ind w:left="3600" w:hanging="360"/>
      </w:pPr>
    </w:lvl>
    <w:lvl w:ilvl="5" w:tplc="A6F6DABE">
      <w:start w:val="1"/>
      <w:numFmt w:val="bullet"/>
      <w:lvlText w:val="■"/>
      <w:lvlJc w:val="left"/>
      <w:pPr>
        <w:ind w:left="4320" w:hanging="360"/>
      </w:pPr>
    </w:lvl>
    <w:lvl w:ilvl="6" w:tplc="4A40F24C">
      <w:start w:val="1"/>
      <w:numFmt w:val="bullet"/>
      <w:lvlText w:val="●"/>
      <w:lvlJc w:val="left"/>
      <w:pPr>
        <w:ind w:left="5040" w:hanging="360"/>
      </w:pPr>
    </w:lvl>
    <w:lvl w:ilvl="7" w:tplc="CF928B88">
      <w:start w:val="1"/>
      <w:numFmt w:val="bullet"/>
      <w:lvlText w:val="●"/>
      <w:lvlJc w:val="left"/>
      <w:pPr>
        <w:ind w:left="5760" w:hanging="360"/>
      </w:pPr>
    </w:lvl>
    <w:lvl w:ilvl="8" w:tplc="7E3EB5BE">
      <w:start w:val="1"/>
      <w:numFmt w:val="bullet"/>
      <w:lvlText w:val="●"/>
      <w:lvlJc w:val="left"/>
      <w:pPr>
        <w:ind w:left="6480" w:hanging="360"/>
      </w:pPr>
    </w:lvl>
  </w:abstractNum>
  <w:abstractNum w:abstractNumId="3" w15:restartNumberingAfterBreak="0">
    <w:nsid w:val="7D0749D6"/>
    <w:multiLevelType w:val="hybridMultilevel"/>
    <w:tmpl w:val="D67E390E"/>
    <w:lvl w:ilvl="0" w:tplc="4C802EAC">
      <w:start w:val="1"/>
      <w:numFmt w:val="bullet"/>
      <w:lvlText w:val="•"/>
      <w:lvlJc w:val="left"/>
      <w:pPr>
        <w:spacing w:before="120" w:after="120" w:line="264" w:lineRule="auto"/>
        <w:ind w:left="360" w:hanging="216"/>
      </w:pPr>
      <w:rPr>
        <w:rFonts w:ascii="Aptos" w:eastAsia="Aptos" w:hAnsi="Aptos" w:cs="Aptos"/>
        <w:sz w:val="20"/>
        <w:szCs w:val="20"/>
      </w:rPr>
    </w:lvl>
    <w:lvl w:ilvl="1" w:tplc="005C2940">
      <w:start w:val="1"/>
      <w:numFmt w:val="bullet"/>
      <w:lvlText w:val="○"/>
      <w:lvlJc w:val="left"/>
      <w:pPr>
        <w:spacing w:before="120" w:after="120" w:line="264" w:lineRule="auto"/>
        <w:ind w:left="576" w:hanging="216"/>
      </w:pPr>
      <w:rPr>
        <w:rFonts w:ascii="Aptos" w:eastAsia="Aptos" w:hAnsi="Aptos" w:cs="Aptos"/>
        <w:sz w:val="20"/>
        <w:szCs w:val="20"/>
      </w:rPr>
    </w:lvl>
    <w:lvl w:ilvl="2" w:tplc="D054AB0E">
      <w:numFmt w:val="decimal"/>
      <w:lvlText w:val=""/>
      <w:lvlJc w:val="left"/>
    </w:lvl>
    <w:lvl w:ilvl="3" w:tplc="BBB24756">
      <w:numFmt w:val="decimal"/>
      <w:lvlText w:val=""/>
      <w:lvlJc w:val="left"/>
    </w:lvl>
    <w:lvl w:ilvl="4" w:tplc="1D6287BA">
      <w:numFmt w:val="decimal"/>
      <w:lvlText w:val=""/>
      <w:lvlJc w:val="left"/>
    </w:lvl>
    <w:lvl w:ilvl="5" w:tplc="55122EFC">
      <w:numFmt w:val="decimal"/>
      <w:lvlText w:val=""/>
      <w:lvlJc w:val="left"/>
    </w:lvl>
    <w:lvl w:ilvl="6" w:tplc="F918AB56">
      <w:numFmt w:val="decimal"/>
      <w:lvlText w:val=""/>
      <w:lvlJc w:val="left"/>
    </w:lvl>
    <w:lvl w:ilvl="7" w:tplc="77CE761C">
      <w:numFmt w:val="decimal"/>
      <w:lvlText w:val=""/>
      <w:lvlJc w:val="left"/>
    </w:lvl>
    <w:lvl w:ilvl="8" w:tplc="7F5C6E82">
      <w:numFmt w:val="decimal"/>
      <w:lvlText w:val=""/>
      <w:lvlJc w:val="left"/>
    </w:lvl>
  </w:abstractNum>
  <w:num w:numId="1" w16cid:durableId="607977799">
    <w:abstractNumId w:val="2"/>
    <w:lvlOverride w:ilvl="0">
      <w:startOverride w:val="1"/>
    </w:lvlOverride>
  </w:num>
  <w:num w:numId="2" w16cid:durableId="1852596952">
    <w:abstractNumId w:val="3"/>
    <w:lvlOverride w:ilvl="0">
      <w:startOverride w:val="1"/>
    </w:lvlOverride>
  </w:num>
  <w:num w:numId="3" w16cid:durableId="1146705207">
    <w:abstractNumId w:val="1"/>
    <w:lvlOverride w:ilvl="0">
      <w:startOverride w:val="1"/>
    </w:lvlOverride>
  </w:num>
  <w:num w:numId="4" w16cid:durableId="12493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01D"/>
    <w:rsid w:val="00150E10"/>
    <w:rsid w:val="00170E28"/>
    <w:rsid w:val="002338BD"/>
    <w:rsid w:val="004D5939"/>
    <w:rsid w:val="00646ECC"/>
    <w:rsid w:val="007F1592"/>
    <w:rsid w:val="00906CEF"/>
    <w:rsid w:val="00A6601D"/>
    <w:rsid w:val="00B679D9"/>
    <w:rsid w:val="00DA79F4"/>
    <w:rsid w:val="00EF25F9"/>
    <w:rsid w:val="00F95A66"/>
    <w:rsid w:val="00FB4B36"/>
    <w:rsid w:val="00FD2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6FF18B"/>
  <w15:docId w15:val="{96DC5CFB-9AF8-3541-8E73-01DEE9B1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line="264" w:lineRule="auto"/>
      <w:outlineLvl w:val="0"/>
    </w:pPr>
    <w:rPr>
      <w:b/>
      <w:bCs/>
      <w:color w:val="000000"/>
      <w:sz w:val="28"/>
      <w:szCs w:val="28"/>
    </w:rPr>
  </w:style>
  <w:style w:type="paragraph" w:styleId="Heading2">
    <w:name w:val="heading 2"/>
    <w:uiPriority w:val="9"/>
    <w:unhideWhenUsed/>
    <w:qFormat/>
    <w:pPr>
      <w:pBdr>
        <w:top w:val="single" w:sz="12" w:space="4" w:color="000000"/>
      </w:pBdr>
      <w:spacing w:before="360" w:after="180" w:line="264" w:lineRule="auto"/>
      <w:outlineLvl w:val="1"/>
    </w:pPr>
    <w:rPr>
      <w:b/>
      <w:bCs/>
      <w:color w:val="000000"/>
      <w:sz w:val="28"/>
      <w:szCs w:val="28"/>
    </w:rPr>
  </w:style>
  <w:style w:type="paragraph" w:styleId="Heading3">
    <w:name w:val="heading 3"/>
    <w:uiPriority w:val="9"/>
    <w:unhideWhenUsed/>
    <w:qFormat/>
    <w:pPr>
      <w:spacing w:before="120" w:after="120" w:line="264" w:lineRule="auto"/>
      <w:outlineLvl w:val="2"/>
    </w:pPr>
    <w:rPr>
      <w:b/>
      <w:bCs/>
      <w:i/>
      <w:iCs/>
      <w:color w:val="000000"/>
      <w:sz w:val="24"/>
      <w:szCs w:val="24"/>
    </w:rPr>
  </w:style>
  <w:style w:type="paragraph" w:styleId="Heading4">
    <w:name w:val="heading 4"/>
    <w:uiPriority w:val="9"/>
    <w:semiHidden/>
    <w:unhideWhenUsed/>
    <w:qFormat/>
    <w:pPr>
      <w:spacing w:before="120" w:after="120" w:line="264" w:lineRule="auto"/>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odyText2">
    <w:name w:val="Body Text 2"/>
    <w:pPr>
      <w:spacing w:line="264" w:lineRule="auto"/>
    </w:pPr>
    <w:rPr>
      <w:color w:val="000000"/>
      <w:sz w:val="18"/>
      <w:szCs w:val="18"/>
    </w:rPr>
  </w:style>
  <w:style w:type="character" w:styleId="LineNumber">
    <w:name w:val="line number"/>
    <w:basedOn w:val="DefaultParagraphFont"/>
    <w:uiPriority w:val="99"/>
    <w:semiHidden/>
    <w:unhideWhenUsed/>
    <w:rsid w:val="00DA79F4"/>
  </w:style>
  <w:style w:type="paragraph" w:styleId="ListBullet">
    <w:name w:val="List Bullet"/>
    <w:basedOn w:val="Normal"/>
    <w:uiPriority w:val="99"/>
    <w:unhideWhenUsed/>
    <w:rsid w:val="00150E10"/>
    <w:pPr>
      <w:numPr>
        <w:numId w:val="4"/>
      </w:numPr>
      <w:spacing w:before="60" w:after="60" w:line="264" w:lineRule="auto"/>
    </w:pPr>
  </w:style>
  <w:style w:type="paragraph" w:styleId="Header">
    <w:name w:val="header"/>
    <w:basedOn w:val="Normal"/>
    <w:link w:val="HeaderChar"/>
    <w:uiPriority w:val="99"/>
    <w:unhideWhenUsed/>
    <w:rsid w:val="00170E28"/>
    <w:pPr>
      <w:tabs>
        <w:tab w:val="center" w:pos="4680"/>
        <w:tab w:val="right" w:pos="9360"/>
      </w:tabs>
    </w:pPr>
  </w:style>
  <w:style w:type="character" w:customStyle="1" w:styleId="HeaderChar">
    <w:name w:val="Header Char"/>
    <w:basedOn w:val="DefaultParagraphFont"/>
    <w:link w:val="Header"/>
    <w:uiPriority w:val="99"/>
    <w:rsid w:val="00170E28"/>
  </w:style>
  <w:style w:type="paragraph" w:styleId="Footer">
    <w:name w:val="footer"/>
    <w:basedOn w:val="Normal"/>
    <w:link w:val="FooterChar"/>
    <w:uiPriority w:val="99"/>
    <w:unhideWhenUsed/>
    <w:rsid w:val="00170E28"/>
    <w:pPr>
      <w:tabs>
        <w:tab w:val="center" w:pos="4680"/>
        <w:tab w:val="right" w:pos="9360"/>
      </w:tabs>
    </w:pPr>
  </w:style>
  <w:style w:type="character" w:customStyle="1" w:styleId="FooterChar">
    <w:name w:val="Footer Char"/>
    <w:basedOn w:val="DefaultParagraphFont"/>
    <w:link w:val="Footer"/>
    <w:uiPriority w:val="99"/>
    <w:rsid w:val="00170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31</TotalTime>
  <Pages>3</Pages>
  <Words>1814</Words>
  <Characters>10341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3</cp:revision>
  <dcterms:created xsi:type="dcterms:W3CDTF">2026-04-12T03:32:00Z</dcterms:created>
  <dcterms:modified xsi:type="dcterms:W3CDTF">2026-04-13T02:53:00Z</dcterms:modified>
</cp:coreProperties>
</file>