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CPFR / Vendor Compliance x CPH</w:t>
      </w:r>
    </w:p>
    <w:p>
      <w:pPr>
        <w:pStyle w:val="Heading1"/>
      </w:pPr>
      <w:r>
        <w:t>Executive Summary -- March 2026</w:t>
      </w:r>
    </w:p>
    <w:p>
      <w:r>
        <w:rPr>
          <w:b/>
        </w:rPr>
        <w:t xml:space="preserve">Date: </w:t>
      </w:r>
      <w:r>
        <w:t>March 20, 2026</w:t>
      </w:r>
    </w:p>
    <w:p>
      <w:r>
        <w:rPr>
          <w:b/>
        </w:rPr>
        <w:t xml:space="preserve">Prepared by: </w:t>
      </w:r>
      <w:r>
        <w:t>Nathan Miles, Sr. Program Manager -- CPFR/Instock</w:t>
      </w:r>
    </w:p>
    <w:p>
      <w:r>
        <w:rPr>
          <w:b/>
        </w:rPr>
        <w:t xml:space="preserve">Audience: </w:t>
      </w:r>
      <w:r>
        <w:t>Justin Bowman (CPH PM Owner), Harish Sulghar (CPH TPM), Phanindher (AD, Program Management), Dave Livesay (Sr. Director, Inventory Management)</w:t>
      </w:r>
    </w:p>
    <w:p/>
    <w:p>
      <w:pPr>
        <w:pStyle w:val="Heading2"/>
      </w:pPr>
      <w:r>
        <w:t>Context</w:t>
      </w:r>
    </w:p>
    <w:p>
      <w:pPr/>
      <w:r>
        <w:t>Chewy's CPFR program delivers the forecast, inventory, and replenishment data that ISMs and 3,200+ vendors depend on for daily supply chain operations. Vendor Compliance (VC) provides chargeback and violation data. Both workstreams require integration into Chewy Partner Hub (CPH) to replace fragmented, manual distribution with governed, self-service portal access. A combined entitlement analysis has been completed and filed with the OP1 submission; the initiative was not rejected on business case merit--it was deprioritized due to competing priorities and late insertion into the 2026 planning cycle.</w:t>
      </w:r>
    </w:p>
    <w:p/>
    <w:p>
      <w:pPr/>
      <w:r>
        <w:t>On March 20, 2026, Nathan Miles and Phanindher met with Justin Bowman (CPH PM Owner) and Harish Sulghar (CPH TPM) to assess the current state of the initiative, clarify CPH-side ownership, and identify a realistic path forward. This document reflects the outcomes of that meeting and supersedes prior draft versions.</w:t>
      </w:r>
    </w:p>
    <w:p/>
    <w:p>
      <w:pPr>
        <w:pStyle w:val="Heading2"/>
      </w:pPr>
      <w:r>
        <w:t>Organizational Changes Since Last Review</w:t>
      </w:r>
    </w:p>
    <w:p>
      <w:pPr/>
      <w:r>
        <w:t>Since the project's last active state, the connective-tissue roles that previously held it together have changed:</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W w:w="2015" w:type="dxa"/>
          </w:tcPr>
          <w:p>
            <w:r>
              <w:rPr>
                <w:b/>
                <w:color w:val="FFFFFF"/>
              </w:rPr>
              <w:t>Person</w:t>
            </w:r>
          </w:p>
        </w:tc>
        <w:tc>
          <w:tcPr>
            <w:tcW w:type="dxa" w:w="2880"/>
            <w:shd w:val="clear" w:color="auto" w:fill="1F4E79"/>
            <w:tcW w:w="3024" w:type="dxa"/>
          </w:tcPr>
          <w:p>
            <w:r>
              <w:rPr>
                <w:b/>
                <w:color w:val="FFFFFF"/>
              </w:rPr>
              <w:t>Former Role</w:t>
            </w:r>
          </w:p>
        </w:tc>
        <w:tc>
          <w:tcPr>
            <w:tcW w:type="dxa" w:w="2880"/>
            <w:shd w:val="clear" w:color="auto" w:fill="1F4E79"/>
            <w:tcW w:w="4320" w:type="dxa"/>
          </w:tcPr>
          <w:p>
            <w:r>
              <w:rPr>
                <w:b/>
                <w:color w:val="FFFFFF"/>
              </w:rPr>
              <w:t>Current Status</w:t>
            </w:r>
          </w:p>
        </w:tc>
      </w:tr>
      <w:tr>
        <w:tc>
          <w:tcPr>
            <w:tcW w:type="dxa" w:w="2880"/>
            <w:tcW w:w="2015" w:type="dxa"/>
          </w:tcPr>
          <w:p>
            <w:r>
              <w:t>Ratna Ramani</w:t>
            </w:r>
          </w:p>
        </w:tc>
        <w:tc>
          <w:tcPr>
            <w:tcW w:type="dxa" w:w="2880"/>
            <w:tcW w:w="3024" w:type="dxa"/>
          </w:tcPr>
          <w:p>
            <w:r>
              <w:t>Single-threaded owner / SDev Director (engineering engagement)</w:t>
            </w:r>
          </w:p>
        </w:tc>
        <w:tc>
          <w:tcPr>
            <w:tcW w:type="dxa" w:w="2880"/>
            <w:tcW w:w="4320" w:type="dxa"/>
          </w:tcPr>
          <w:p>
            <w:r>
              <w:t>Redeployed to a different OP1 project. No longer available.</w:t>
            </w:r>
          </w:p>
        </w:tc>
      </w:tr>
      <w:tr>
        <w:tc>
          <w:tcPr>
            <w:tcW w:type="dxa" w:w="2880"/>
            <w:tcW w:w="2015" w:type="dxa"/>
          </w:tcPr>
          <w:p>
            <w:r>
              <w:t>Jeremy Wartnick</w:t>
            </w:r>
          </w:p>
        </w:tc>
        <w:tc>
          <w:tcPr>
            <w:tcW w:type="dxa" w:w="2880"/>
            <w:tcW w:w="3024" w:type="dxa"/>
          </w:tcPr>
          <w:p>
            <w:r>
              <w:t>Designated new STO/TPM; CPH-side coordination</w:t>
            </w:r>
          </w:p>
        </w:tc>
        <w:tc>
          <w:tcPr>
            <w:tcW w:type="dxa" w:w="2880"/>
            <w:tcW w:w="4320" w:type="dxa"/>
          </w:tcPr>
          <w:p>
            <w:r>
              <w:t>Remit narrowed to SPARK pipeline work only. VC-adjacent but not available for CPFR/CPH integration.</w:t>
            </w:r>
          </w:p>
        </w:tc>
      </w:tr>
      <w:tr>
        <w:tc>
          <w:tcPr>
            <w:tcW w:type="dxa" w:w="2880"/>
            <w:tcW w:w="2015" w:type="dxa"/>
          </w:tcPr>
          <w:p>
            <w:r>
              <w:t>Harish Sulghar</w:t>
            </w:r>
          </w:p>
        </w:tc>
        <w:tc>
          <w:tcPr>
            <w:tcW w:type="dxa" w:w="2880"/>
            <w:tcW w:w="3024" w:type="dxa"/>
          </w:tcPr>
          <w:p>
            <w:r>
              <w:t>CPH TPM (navigational guide)</w:t>
            </w:r>
          </w:p>
        </w:tc>
        <w:tc>
          <w:tcPr>
            <w:tcW w:type="dxa" w:w="2880"/>
            <w:tcW w:w="4320" w:type="dxa"/>
          </w:tcPr>
          <w:p>
            <w:r>
              <w:t>Confirmed as CPH TPM owner for this initiative as of 3/20/2026 meeting. Primary CPH interface going forward.</w:t>
            </w:r>
          </w:p>
        </w:tc>
      </w:tr>
      <w:tr>
        <w:tc>
          <w:tcPr>
            <w:tcW w:type="dxa" w:w="2880"/>
            <w:tcW w:w="2015" w:type="dxa"/>
          </w:tcPr>
          <w:p>
            <w:r>
              <w:t>Justin Bowman</w:t>
            </w:r>
          </w:p>
        </w:tc>
        <w:tc>
          <w:tcPr>
            <w:tcW w:type="dxa" w:w="2880"/>
            <w:tcW w:w="3024" w:type="dxa"/>
          </w:tcPr>
          <w:p>
            <w:r>
              <w:t>CPH Portfolio PM</w:t>
            </w:r>
          </w:p>
        </w:tc>
        <w:tc>
          <w:tcPr>
            <w:tcW w:type="dxa" w:w="2880"/>
            <w:tcW w:w="4320" w:type="dxa"/>
          </w:tcPr>
          <w:p>
            <w:r>
              <w:t>Confirmed as CPH PM owner for this initiative as of 3/20/2026 meeting.</w:t>
            </w:r>
          </w:p>
        </w:tc>
      </w:tr>
      <w:tr>
        <w:tc>
          <w:tcPr>
            <w:tcW w:type="dxa" w:w="2880"/>
            <w:tcW w:w="2015" w:type="dxa"/>
          </w:tcPr>
          <w:p>
            <w:r>
              <w:t>Santosh</w:t>
            </w:r>
          </w:p>
        </w:tc>
        <w:tc>
          <w:tcPr>
            <w:tcW w:type="dxa" w:w="2880"/>
            <w:tcW w:w="3024" w:type="dxa"/>
          </w:tcPr>
          <w:p>
            <w:r>
              <w:t>Data engineer, CPH interface</w:t>
            </w:r>
          </w:p>
        </w:tc>
        <w:tc>
          <w:tcPr>
            <w:tcW w:type="dxa" w:w="2880"/>
            <w:tcW w:w="4320" w:type="dxa"/>
          </w:tcPr>
          <w:p>
            <w:r>
              <w:t>Redeployed to other projects. Replaced by Gangi as CPH tech lead.</w:t>
            </w:r>
          </w:p>
        </w:tc>
      </w:tr>
      <w:tr>
        <w:tc>
          <w:tcPr>
            <w:tcW w:type="dxa" w:w="2880"/>
            <w:tcW w:w="2015" w:type="dxa"/>
          </w:tcPr>
          <w:p>
            <w:r>
              <w:t>Gangi</w:t>
            </w:r>
          </w:p>
        </w:tc>
        <w:tc>
          <w:tcPr>
            <w:tcW w:type="dxa" w:w="2880"/>
            <w:tcW w:w="3024" w:type="dxa"/>
          </w:tcPr>
          <w:p>
            <w:r>
              <w:t>CPH engineer</w:t>
            </w:r>
          </w:p>
        </w:tc>
        <w:tc>
          <w:tcPr>
            <w:tcW w:type="dxa" w:w="2880"/>
            <w:tcW w:w="4320" w:type="dxa"/>
          </w:tcPr>
          <w:p>
            <w:r>
              <w:t>Now the primary CPH technical contact. Harish will facilitate engagement.</w:t>
            </w:r>
          </w:p>
        </w:tc>
      </w:tr>
    </w:tbl>
    <w:p/>
    <w:p>
      <w:pPr>
        <w:pStyle w:val="Heading2"/>
      </w:pPr>
      <w:r>
        <w:t>What Has Been Built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W w:w="2448" w:type="dxa"/>
          </w:tcPr>
          <w:p>
            <w:r>
              <w:rPr>
                <w:b/>
                <w:color w:val="FFFFFF"/>
              </w:rPr>
              <w:t>Component</w:t>
            </w:r>
          </w:p>
        </w:tc>
        <w:tc>
          <w:tcPr>
            <w:tcW w:type="dxa" w:w="2880"/>
            <w:shd w:val="clear" w:color="auto" w:fill="1F4E79"/>
            <w:tcW w:w="6048" w:type="dxa"/>
          </w:tcPr>
          <w:p>
            <w:r>
              <w:rPr>
                <w:b/>
                <w:color w:val="FFFFFF"/>
              </w:rPr>
              <w:t>Status</w:t>
            </w:r>
          </w:p>
        </w:tc>
        <w:tc>
          <w:tcPr>
            <w:tcW w:type="dxa" w:w="2880"/>
            <w:shd w:val="clear" w:color="auto" w:fill="1F4E79"/>
            <w:tcW w:w="2304" w:type="dxa"/>
          </w:tcPr>
          <w:p>
            <w:r>
              <w:rPr>
                <w:b/>
                <w:color w:val="FFFFFF"/>
              </w:rPr>
              <w:t>Owner</w:t>
            </w:r>
          </w:p>
        </w:tc>
      </w:tr>
      <w:tr>
        <w:tc>
          <w:tcPr>
            <w:tcW w:type="dxa" w:w="2880"/>
            <w:tcW w:w="2448" w:type="dxa"/>
          </w:tcPr>
          <w:p>
            <w:r>
              <w:t>CPFR Data Platform</w:t>
            </w:r>
          </w:p>
        </w:tc>
        <w:tc>
          <w:tcPr>
            <w:tcW w:type="dxa" w:w="2880"/>
            <w:tcW w:w="6048" w:type="dxa"/>
          </w:tcPr>
          <w:p>
            <w:r>
              <w:t>Snowflake semantic layer with vendor isolation, daily refresh, data lineage. Delivers 3/31/2026 at network grain (98.4% of vendors, Tiers 2-4). SKU/FC grain for Tier 1 vendors (45) is a defined follow-on.</w:t>
            </w:r>
          </w:p>
        </w:tc>
        <w:tc>
          <w:tcPr>
            <w:tcW w:type="dxa" w:w="2880"/>
            <w:tcW w:w="2304" w:type="dxa"/>
          </w:tcPr>
          <w:p>
            <w:r>
              <w:t>Stefan / SC-BIE</w:t>
            </w:r>
          </w:p>
        </w:tc>
      </w:tr>
      <w:tr>
        <w:tc>
          <w:tcPr>
            <w:tcW w:type="dxa" w:w="2880"/>
            <w:tcW w:w="2448" w:type="dxa"/>
          </w:tcPr>
          <w:p>
            <w:r>
              <w:t>VC Data Pipeline</w:t>
            </w:r>
          </w:p>
        </w:tc>
        <w:tc>
          <w:tcPr>
            <w:tcW w:type="dxa" w:w="2880"/>
            <w:tcW w:w="6048" w:type="dxa"/>
          </w:tcPr>
          <w:p>
            <w:r>
              <w:t>Jeremy Wartnick engaged on SPARK pipeline (VC-adjacent). CPH portal integration for Chargebacks/Violations remains in design.</w:t>
            </w:r>
          </w:p>
        </w:tc>
        <w:tc>
          <w:tcPr>
            <w:tcW w:type="dxa" w:w="2880"/>
            <w:tcW w:w="2304" w:type="dxa"/>
          </w:tcPr>
          <w:p>
            <w:r>
              <w:t>Nelson + Jeremy (SPARK-scoped)</w:t>
            </w:r>
          </w:p>
        </w:tc>
      </w:tr>
      <w:tr>
        <w:tc>
          <w:tcPr>
            <w:tcW w:type="dxa" w:w="2880"/>
            <w:tcW w:w="2448" w:type="dxa"/>
          </w:tcPr>
          <w:p>
            <w:r>
              <w:t>Requirements Artifacts</w:t>
            </w:r>
          </w:p>
        </w:tc>
        <w:tc>
          <w:tcPr>
            <w:tcW w:type="dxa" w:w="2880"/>
            <w:tcW w:w="6048" w:type="dxa"/>
          </w:tcPr>
          <w:p>
            <w:r>
              <w:t>Consolidated BRD (CPFR + VC), user stories, wireframes, feasibility analysis -- all complete and ready for handoff to engineering.</w:t>
            </w:r>
          </w:p>
        </w:tc>
        <w:tc>
          <w:tcPr>
            <w:tcW w:type="dxa" w:w="2880"/>
            <w:tcW w:w="2304" w:type="dxa"/>
          </w:tcPr>
          <w:p>
            <w:r>
              <w:t>Miles + Nelson</w:t>
            </w:r>
          </w:p>
        </w:tc>
      </w:tr>
      <w:tr>
        <w:tc>
          <w:tcPr>
            <w:tcW w:type="dxa" w:w="2880"/>
            <w:tcW w:w="2448" w:type="dxa"/>
          </w:tcPr>
          <w:p>
            <w:r>
              <w:t>Business Case</w:t>
            </w:r>
          </w:p>
        </w:tc>
        <w:tc>
          <w:tcPr>
            <w:tcW w:type="dxa" w:w="2880"/>
            <w:tcW w:w="6048" w:type="dxa"/>
          </w:tcPr>
          <w:p>
            <w:r>
              <w:t>PRFAQ, entitlement analysis ($21M VC + $1.4M CPFR recurring), and OP1 submission package on file.</w:t>
            </w:r>
          </w:p>
        </w:tc>
        <w:tc>
          <w:tcPr>
            <w:tcW w:type="dxa" w:w="2880"/>
            <w:tcW w:w="2304" w:type="dxa"/>
          </w:tcPr>
          <w:p>
            <w:r>
              <w:t>Miles + Nelson</w:t>
            </w:r>
          </w:p>
        </w:tc>
      </w:tr>
    </w:tbl>
    <w:p/>
    <w:p>
      <w:pPr>
        <w:pStyle w:val="Heading2"/>
      </w:pPr>
      <w:r>
        <w:t>Current Constraints and Gaps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W w:w="2592" w:type="dxa"/>
          </w:tcPr>
          <w:p>
            <w:r>
              <w:rPr>
                <w:b/>
                <w:color w:val="FFFFFF"/>
              </w:rPr>
              <w:t>Gap</w:t>
            </w:r>
          </w:p>
        </w:tc>
        <w:tc>
          <w:tcPr>
            <w:tcW w:type="dxa" w:w="2880"/>
            <w:shd w:val="clear" w:color="auto" w:fill="1F4E79"/>
            <w:tcW w:w="4608" w:type="dxa"/>
          </w:tcPr>
          <w:p>
            <w:r>
              <w:rPr>
                <w:b/>
                <w:color w:val="FFFFFF"/>
              </w:rPr>
              <w:t>Impact</w:t>
            </w:r>
          </w:p>
        </w:tc>
        <w:tc>
          <w:tcPr>
            <w:tcW w:type="dxa" w:w="2880"/>
            <w:shd w:val="clear" w:color="auto" w:fill="1F4E79"/>
            <w:tcW w:w="3600" w:type="dxa"/>
          </w:tcPr>
          <w:p>
            <w:r>
              <w:rPr>
                <w:b/>
                <w:color w:val="FFFFFF"/>
              </w:rPr>
              <w:t>Status / Path</w:t>
            </w:r>
          </w:p>
        </w:tc>
      </w:tr>
      <w:tr>
        <w:tc>
          <w:tcPr>
            <w:tcW w:type="dxa" w:w="2880"/>
            <w:tcW w:w="2592" w:type="dxa"/>
          </w:tcPr>
          <w:p>
            <w:r>
              <w:t>CPH Engineering Capacity (2026)</w:t>
            </w:r>
          </w:p>
        </w:tc>
        <w:tc>
          <w:tcPr>
            <w:tcW w:type="dxa" w:w="2880"/>
            <w:tcW w:w="4608" w:type="dxa"/>
          </w:tcPr>
          <w:p>
            <w:r>
              <w:t>CPH has 8 engineers fully committed to $57M FTOS migration and $30M Vulcan integration through 2026. No new dedicated engineering intake is available this year under current allocation.</w:t>
            </w:r>
          </w:p>
        </w:tc>
        <w:tc>
          <w:tcPr>
            <w:tcW w:type="dxa" w:w="2880"/>
            <w:tcW w:w="3600" w:type="dxa"/>
          </w:tcPr>
          <w:p>
            <w:r>
              <w:t>Confirmed 3/20. No change expected without OP1 or contractor engagement.</w:t>
            </w:r>
          </w:p>
        </w:tc>
      </w:tr>
      <w:tr>
        <w:tc>
          <w:tcPr>
            <w:tcW w:type="dxa" w:w="2880"/>
            <w:tcW w:w="2592" w:type="dxa"/>
          </w:tcPr>
          <w:p>
            <w:r>
              <w:t>Single-Threaded PM/TPM</w:t>
            </w:r>
          </w:p>
        </w:tc>
        <w:tc>
          <w:tcPr>
            <w:tcW w:type="dxa" w:w="2880"/>
            <w:tcW w:w="4608" w:type="dxa"/>
          </w:tcPr>
          <w:p>
            <w:r>
              <w:t>With Ratna redeployed and Jeremy narrowed to SPARK, no one person held connective-tissue responsibility for CPFR-in-CPH. Initiative lacked a coordinating owner.</w:t>
            </w:r>
          </w:p>
        </w:tc>
        <w:tc>
          <w:tcPr>
            <w:tcW w:type="dxa" w:w="2880"/>
            <w:tcW w:w="3600" w:type="dxa"/>
          </w:tcPr>
          <w:p>
            <w:r>
              <w:t>Partially resolved: Justin (PM) and Harish (TPM) confirmed as CPH-side owners. Nathan Miles acting as TPM-equivalent from SC side.</w:t>
            </w:r>
          </w:p>
        </w:tc>
      </w:tr>
      <w:tr>
        <w:tc>
          <w:tcPr>
            <w:tcW w:type="dxa" w:w="2880"/>
            <w:tcW w:w="2592" w:type="dxa"/>
          </w:tcPr>
          <w:p>
            <w:r>
              <w:t>MVP Scope Definition</w:t>
            </w:r>
          </w:p>
        </w:tc>
        <w:tc>
          <w:tcPr>
            <w:tcW w:type="dxa" w:w="2880"/>
            <w:tcW w:w="4608" w:type="dxa"/>
          </w:tcPr>
          <w:p>
            <w:r>
              <w:t>LOE estimation cannot begin until scope is concretely defined. Without a scoped MVP, engineering engagement is too open-ended to commit to.</w:t>
            </w:r>
          </w:p>
        </w:tc>
        <w:tc>
          <w:tcPr>
            <w:tcW w:type="dxa" w:w="2880"/>
            <w:tcW w:w="3600" w:type="dxa"/>
          </w:tcPr>
          <w:p>
            <w:r>
              <w:t>Nathan to drive parallel MVP certification sessions (see Action Plan).</w:t>
            </w:r>
          </w:p>
        </w:tc>
      </w:tr>
      <w:tr>
        <w:tc>
          <w:tcPr>
            <w:tcW w:type="dxa" w:w="2880"/>
            <w:tcW w:w="2592" w:type="dxa"/>
          </w:tcPr>
          <w:p>
            <w:r>
              <w:t>Contractor Engagement Path</w:t>
            </w:r>
          </w:p>
        </w:tc>
        <w:tc>
          <w:tcPr>
            <w:tcW w:type="dxa" w:w="2880"/>
            <w:tcW w:w="4608" w:type="dxa"/>
          </w:tcPr>
          <w:p>
            <w:r>
              <w:t>Harish suggested a contractor familiar with the CPH/ERP Next platform could provide finite-period support and accelerate scoping and early build.</w:t>
            </w:r>
          </w:p>
        </w:tc>
        <w:tc>
          <w:tcPr>
            <w:tcW w:type="dxa" w:w="2880"/>
            <w:tcW w:w="3600" w:type="dxa"/>
          </w:tcPr>
          <w:p>
            <w:r>
              <w:t>Nathan to connect with Gangi to understand contractor engagement process.</w:t>
            </w:r>
          </w:p>
        </w:tc>
      </w:tr>
      <w:tr>
        <w:tc>
          <w:tcPr>
            <w:tcW w:type="dxa" w:w="2880"/>
            <w:tcW w:w="2592" w:type="dxa"/>
          </w:tcPr>
          <w:p>
            <w:r>
              <w:t>LOE Estimate</w:t>
            </w:r>
          </w:p>
        </w:tc>
        <w:tc>
          <w:tcPr>
            <w:tcW w:type="dxa" w:w="2880"/>
            <w:tcW w:w="4608" w:type="dxa"/>
          </w:tcPr>
          <w:p>
            <w:r>
              <w:t>Required to translate the resource ask into any formal funding request (OP2 2026, OP1 2027, or allocation). Unblocked once MVP scope is certified.</w:t>
            </w:r>
          </w:p>
        </w:tc>
        <w:tc>
          <w:tcPr>
            <w:tcW w:type="dxa" w:w="2880"/>
            <w:tcW w:w="3600" w:type="dxa"/>
          </w:tcPr>
          <w:p>
            <w:r>
              <w:t>Harish proposed dedicating 3 story points for a spike to estimate LOE once BRD scope is defined.</w:t>
            </w:r>
          </w:p>
        </w:tc>
      </w:tr>
      <w:tr>
        <w:tc>
          <w:tcPr>
            <w:tcW w:type="dxa" w:w="2880"/>
            <w:tcW w:w="2592" w:type="dxa"/>
          </w:tcPr>
          <w:p>
            <w:r>
              <w:t>UX Design Resources</w:t>
            </w:r>
          </w:p>
        </w:tc>
        <w:tc>
          <w:tcPr>
            <w:tcW w:type="dxa" w:w="2880"/>
            <w:tcW w:w="4608" w:type="dxa"/>
          </w:tcPr>
          <w:p>
            <w:r>
              <w:t>UX for scorecard/portal-integration MVP pending resource approval from Richard Neely. Outsource fallback possible if budgeted.</w:t>
            </w:r>
          </w:p>
        </w:tc>
        <w:tc>
          <w:tcPr>
            <w:tcW w:type="dxa" w:w="2880"/>
            <w:tcW w:w="3600" w:type="dxa"/>
          </w:tcPr>
          <w:p>
            <w:r>
              <w:t>Open. Richard Neely decision required.</w:t>
            </w:r>
          </w:p>
        </w:tc>
      </w:tr>
    </w:tbl>
    <w:p/>
    <w:p>
      <w:pPr>
        <w:pStyle w:val="Heading2"/>
      </w:pPr>
      <w:r>
        <w:t>Path Forward</w:t>
      </w:r>
    </w:p>
    <w:p>
      <w:pPr/>
      <w:r>
        <w:t>The realistic path identified in the 3/20 meeting is as follows: (1) slim scope to a clearly defined MVP before engineering is engaged, (2) explore contractor support to augment CPH engineering capacity for finite-period work, (3) target the July 2026 OP1 intake window with a fully scoped, LOE-backed submission for 2027 dedicated resourcing. In parallel, identify whether any MVP elements can be absorbed into existing CPH BAU work.</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W w:w="2304" w:type="dxa"/>
          </w:tcPr>
          <w:p>
            <w:r>
              <w:rPr>
                <w:b/>
                <w:color w:val="FFFFFF"/>
              </w:rPr>
              <w:t>Scenario</w:t>
            </w:r>
          </w:p>
        </w:tc>
        <w:tc>
          <w:tcPr>
            <w:tcW w:type="dxa" w:w="2880"/>
            <w:shd w:val="clear" w:color="auto" w:fill="1F4E79"/>
            <w:tcW w:w="5472" w:type="dxa"/>
          </w:tcPr>
          <w:p>
            <w:r>
              <w:rPr>
                <w:b/>
                <w:color w:val="FFFFFF"/>
              </w:rPr>
              <w:t>Description</w:t>
            </w:r>
          </w:p>
        </w:tc>
        <w:tc>
          <w:tcPr>
            <w:tcW w:type="dxa" w:w="2880"/>
            <w:shd w:val="clear" w:color="auto" w:fill="1F4E79"/>
            <w:tcW w:w="3024" w:type="dxa"/>
          </w:tcPr>
          <w:p>
            <w:r>
              <w:rPr>
                <w:b/>
                <w:color w:val="FFFFFF"/>
              </w:rPr>
              <w:t>Dependency</w:t>
            </w:r>
          </w:p>
        </w:tc>
      </w:tr>
      <w:tr>
        <w:tc>
          <w:tcPr>
            <w:tcW w:type="dxa" w:w="2880"/>
            <w:tcW w:w="2304" w:type="dxa"/>
          </w:tcPr>
          <w:p>
            <w:r>
              <w:t>Contractor Support (2026)</w:t>
            </w:r>
          </w:p>
        </w:tc>
        <w:tc>
          <w:tcPr>
            <w:tcW w:type="dxa" w:w="2880"/>
            <w:tcW w:w="5472" w:type="dxa"/>
          </w:tcPr>
          <w:p>
            <w:r>
              <w:t>Hire a contractor with CPH/ERP Next experience for finite-period scoping and initial build support. Reduces dependency on fully-allocated internal engineering.</w:t>
            </w:r>
          </w:p>
        </w:tc>
        <w:tc>
          <w:tcPr>
            <w:tcW w:type="dxa" w:w="2880"/>
            <w:tcW w:w="3024" w:type="dxa"/>
          </w:tcPr>
          <w:p>
            <w:r>
              <w:t>Nathan to connect with Gangi re: contractor intake process. Justin/Harish to advise on fit.</w:t>
            </w:r>
          </w:p>
        </w:tc>
      </w:tr>
      <w:tr>
        <w:tc>
          <w:tcPr>
            <w:tcW w:type="dxa" w:w="2880"/>
            <w:tcW w:w="2304" w:type="dxa"/>
          </w:tcPr>
          <w:p>
            <w:r>
              <w:t>BAU Absorption (2026)</w:t>
            </w:r>
          </w:p>
        </w:tc>
        <w:tc>
          <w:tcPr>
            <w:tcW w:type="dxa" w:w="2880"/>
            <w:tcW w:w="5472" w:type="dxa"/>
          </w:tcPr>
          <w:p>
            <w:r>
              <w:t>Identify MVP elements--particularly Tableau reporting and/or email distribution--that could be absorbed into existing CPH BAU capacity without triggering a new OP1 line.</w:t>
            </w:r>
          </w:p>
        </w:tc>
        <w:tc>
          <w:tcPr>
            <w:tcW w:type="dxa" w:w="2880"/>
            <w:tcW w:w="3024" w:type="dxa"/>
          </w:tcPr>
          <w:p>
            <w:r>
              <w:t>Requires MVP stack-rank from Nathan + scope review with Harish.</w:t>
            </w:r>
          </w:p>
        </w:tc>
      </w:tr>
      <w:tr>
        <w:tc>
          <w:tcPr>
            <w:tcW w:type="dxa" w:w="2880"/>
            <w:tcW w:w="2304" w:type="dxa"/>
          </w:tcPr>
          <w:p>
            <w:r>
              <w:t>OP1 2027 Submission (primary path)</w:t>
            </w:r>
          </w:p>
        </w:tc>
        <w:tc>
          <w:tcPr>
            <w:tcW w:type="dxa" w:w="2880"/>
            <w:tcW w:w="5472" w:type="dxa"/>
          </w:tcPr>
          <w:p>
            <w:r>
              <w:t>Submit a fully scoped, LOE-backed OP1 package for dedicated CPH engineering capacity in 2027. July is the intake window; package must be ready.</w:t>
            </w:r>
          </w:p>
        </w:tc>
        <w:tc>
          <w:tcPr>
            <w:tcW w:type="dxa" w:w="2880"/>
            <w:tcW w:w="3024" w:type="dxa"/>
          </w:tcPr>
          <w:p>
            <w:r>
              <w:t>MVP scope + LOE spike + SPARK LOE + OP1 packaging. Nathan driving.</w:t>
            </w:r>
          </w:p>
        </w:tc>
      </w:tr>
    </w:tbl>
    <w:p/>
    <w:p>
      <w:pPr>
        <w:pStyle w:val="Heading2"/>
      </w:pPr>
      <w:r>
        <w:t>Action Plan -- Immediate Next Steps</w:t>
      </w:r>
    </w:p>
    <w:p>
      <w:pPr/>
      <w:r>
        <w:t>The following action chain is sequenced such that each step unlocks the next. All steps are Nathan's responsibility to drive unless otherwise noted.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W w:w="4031" w:type="dxa"/>
          </w:tcPr>
          <w:p>
            <w:r>
              <w:rPr>
                <w:b/>
                <w:color w:val="FFFFFF"/>
              </w:rPr>
              <w:t>Action</w:t>
            </w:r>
          </w:p>
        </w:tc>
        <w:tc>
          <w:tcPr>
            <w:tcW w:type="dxa" w:w="2160"/>
            <w:shd w:val="clear" w:color="auto" w:fill="1F4E79"/>
            <w:tcW w:w="2448" w:type="dxa"/>
          </w:tcPr>
          <w:p>
            <w:r>
              <w:rPr>
                <w:b/>
                <w:color w:val="FFFFFF"/>
              </w:rPr>
              <w:t>Owner</w:t>
            </w:r>
          </w:p>
        </w:tc>
        <w:tc>
          <w:tcPr>
            <w:tcW w:type="dxa" w:w="2160"/>
            <w:shd w:val="clear" w:color="auto" w:fill="1F4E79"/>
            <w:tcW w:w="1872" w:type="dxa"/>
          </w:tcPr>
          <w:p>
            <w:r>
              <w:rPr>
                <w:b/>
                <w:color w:val="FFFFFF"/>
              </w:rPr>
              <w:t>Target</w:t>
            </w:r>
          </w:p>
        </w:tc>
        <w:tc>
          <w:tcPr>
            <w:tcW w:type="dxa" w:w="2160"/>
            <w:shd w:val="clear" w:color="auto" w:fill="1F4E79"/>
            <w:tcW w:w="2448" w:type="dxa"/>
          </w:tcPr>
          <w:p>
            <w:r>
              <w:rPr>
                <w:b/>
                <w:color w:val="FFFFFF"/>
              </w:rPr>
              <w:t>Unlocks</w:t>
            </w:r>
          </w:p>
        </w:tc>
      </w:tr>
      <w:tr>
        <w:tc>
          <w:tcPr>
            <w:tcW w:type="dxa" w:w="2160"/>
            <w:tcW w:w="4031" w:type="dxa"/>
          </w:tcPr>
          <w:p>
            <w:r>
              <w:t>Certify VC MVP scope: meet with Nathan Nelson and Keinan Zanck to confirm VC-specific BRD contents and define the MVP boundary.</w:t>
            </w:r>
          </w:p>
        </w:tc>
        <w:tc>
          <w:tcPr>
            <w:tcW w:type="dxa" w:w="2160"/>
            <w:tcW w:w="2448" w:type="dxa"/>
          </w:tcPr>
          <w:p>
            <w:r>
              <w:t>Nathan + N. Nelson + Keinan</w:t>
            </w:r>
          </w:p>
        </w:tc>
        <w:tc>
          <w:tcPr>
            <w:tcW w:type="dxa" w:w="2160"/>
            <w:tcW w:w="1872" w:type="dxa"/>
          </w:tcPr>
          <w:p>
            <w:r>
              <w:t>Early week of 3/23</w:t>
            </w:r>
          </w:p>
        </w:tc>
        <w:tc>
          <w:tcPr>
            <w:tcW w:type="dxa" w:w="2160"/>
            <w:tcW w:w="2448" w:type="dxa"/>
          </w:tcPr>
          <w:p>
            <w:r>
              <w:t>VC scope for LOE</w:t>
            </w:r>
          </w:p>
        </w:tc>
      </w:tr>
      <w:tr>
        <w:tc>
          <w:tcPr>
            <w:tcW w:type="dxa" w:w="2160"/>
            <w:tcW w:w="4031" w:type="dxa"/>
          </w:tcPr>
          <w:p>
            <w:r>
              <w:t>Certify CPFR MVP scope: meet with Phanindher and Steven Palmer to confirm CPFR MVP boundary and stack-rank deliverables.</w:t>
            </w:r>
          </w:p>
        </w:tc>
        <w:tc>
          <w:tcPr>
            <w:tcW w:type="dxa" w:w="2160"/>
            <w:tcW w:w="2448" w:type="dxa"/>
          </w:tcPr>
          <w:p>
            <w:r>
              <w:t>Nathan + Phanindher + Steven</w:t>
            </w:r>
          </w:p>
        </w:tc>
        <w:tc>
          <w:tcPr>
            <w:tcW w:type="dxa" w:w="2160"/>
            <w:tcW w:w="1872" w:type="dxa"/>
          </w:tcPr>
          <w:p>
            <w:r>
              <w:t>Early-mid week of 3/23</w:t>
            </w:r>
          </w:p>
        </w:tc>
        <w:tc>
          <w:tcPr>
            <w:tcW w:type="dxa" w:w="2160"/>
            <w:tcW w:w="2448" w:type="dxa"/>
          </w:tcPr>
          <w:p>
            <w:r>
              <w:t>CPFR scope for LOE</w:t>
            </w:r>
          </w:p>
        </w:tc>
      </w:tr>
      <w:tr>
        <w:tc>
          <w:tcPr>
            <w:tcW w:type="dxa" w:w="2160"/>
            <w:tcW w:w="4031" w:type="dxa"/>
          </w:tcPr>
          <w:p>
            <w:r>
              <w:t>SPARK LOE session: coordinate with Jeremy Wartnick, Nathan Nelson, and Phanindher to outline MVP story points for SPARK-dependent work and schedule an engineering scoping session.</w:t>
            </w:r>
          </w:p>
        </w:tc>
        <w:tc>
          <w:tcPr>
            <w:tcW w:type="dxa" w:w="2160"/>
            <w:tcW w:w="2448" w:type="dxa"/>
          </w:tcPr>
          <w:p>
            <w:r>
              <w:t>Nathan + Jeremy + N. Nelson + Phanindher</w:t>
            </w:r>
          </w:p>
        </w:tc>
        <w:tc>
          <w:tcPr>
            <w:tcW w:type="dxa" w:w="2160"/>
            <w:tcW w:w="1872" w:type="dxa"/>
          </w:tcPr>
          <w:p>
            <w:r>
              <w:t>Following MVP sessions</w:t>
            </w:r>
          </w:p>
        </w:tc>
        <w:tc>
          <w:tcPr>
            <w:tcW w:type="dxa" w:w="2160"/>
            <w:tcW w:w="2448" w:type="dxa"/>
          </w:tcPr>
          <w:p>
            <w:r>
              <w:t>SPARK-specific LOE estimate</w:t>
            </w:r>
          </w:p>
        </w:tc>
      </w:tr>
      <w:tr>
        <w:tc>
          <w:tcPr>
            <w:tcW w:type="dxa" w:w="2160"/>
            <w:tcW w:w="4031" w:type="dxa"/>
          </w:tcPr>
          <w:p>
            <w:r>
              <w:t>CPFR/VC engineering LOE: once SPARK scope has shape, schedule with Harish and Gangi to review story points and obtain a CPH-side LOE estimate (3-point spike proposed by Harish).</w:t>
            </w:r>
          </w:p>
        </w:tc>
        <w:tc>
          <w:tcPr>
            <w:tcW w:type="dxa" w:w="2160"/>
            <w:tcW w:w="2448" w:type="dxa"/>
          </w:tcPr>
          <w:p>
            <w:r>
              <w:t>Nathan + Harish + Gangi</w:t>
            </w:r>
          </w:p>
        </w:tc>
        <w:tc>
          <w:tcPr>
            <w:tcW w:type="dxa" w:w="2160"/>
            <w:tcW w:w="1872" w:type="dxa"/>
          </w:tcPr>
          <w:p>
            <w:r>
              <w:t>After SPARK LOE</w:t>
            </w:r>
          </w:p>
        </w:tc>
        <w:tc>
          <w:tcPr>
            <w:tcW w:type="dxa" w:w="2160"/>
            <w:tcW w:w="2448" w:type="dxa"/>
          </w:tcPr>
          <w:p>
            <w:r>
              <w:t>LOE estimate for OP1 package</w:t>
            </w:r>
          </w:p>
        </w:tc>
      </w:tr>
      <w:tr>
        <w:tc>
          <w:tcPr>
            <w:tcW w:type="dxa" w:w="2160"/>
            <w:tcW w:w="4031" w:type="dxa"/>
          </w:tcPr>
          <w:p>
            <w:r>
              <w:t>Contractor engagement check: connect with Gangi (and Justin/Harish) to understand the process for engaging a CPH-experienced contractor.</w:t>
            </w:r>
          </w:p>
        </w:tc>
        <w:tc>
          <w:tcPr>
            <w:tcW w:type="dxa" w:w="2160"/>
            <w:tcW w:w="2448" w:type="dxa"/>
          </w:tcPr>
          <w:p>
            <w:r>
              <w:t>Nathan + Gangi</w:t>
            </w:r>
          </w:p>
        </w:tc>
        <w:tc>
          <w:tcPr>
            <w:tcW w:type="dxa" w:w="2160"/>
            <w:tcW w:w="1872" w:type="dxa"/>
          </w:tcPr>
          <w:p>
            <w:r>
              <w:t>Within 2 weeks</w:t>
            </w:r>
          </w:p>
        </w:tc>
        <w:tc>
          <w:tcPr>
            <w:tcW w:type="dxa" w:w="2160"/>
            <w:tcW w:w="2448" w:type="dxa"/>
          </w:tcPr>
          <w:p>
            <w:r>
              <w:t>Contractor path clarity</w:t>
            </w:r>
          </w:p>
        </w:tc>
      </w:tr>
      <w:tr>
        <w:tc>
          <w:tcPr>
            <w:tcW w:type="dxa" w:w="2160"/>
            <w:tcW w:w="4031" w:type="dxa"/>
          </w:tcPr>
          <w:p>
            <w:r>
              <w:t>BAU absorption check: follow up with Justin, Phanindher, and Harish to determine which MVP elements (if any) can be absorbed into existing CPH roadmap work.</w:t>
            </w:r>
          </w:p>
        </w:tc>
        <w:tc>
          <w:tcPr>
            <w:tcW w:type="dxa" w:w="2160"/>
            <w:tcW w:w="2448" w:type="dxa"/>
          </w:tcPr>
          <w:p>
            <w:r>
              <w:t>Nathan + Justin + Phanindher + Harish</w:t>
            </w:r>
          </w:p>
        </w:tc>
        <w:tc>
          <w:tcPr>
            <w:tcW w:type="dxa" w:w="2160"/>
            <w:tcW w:w="1872" w:type="dxa"/>
          </w:tcPr>
          <w:p>
            <w:r>
              <w:t>After MVP sessions</w:t>
            </w:r>
          </w:p>
        </w:tc>
        <w:tc>
          <w:tcPr>
            <w:tcW w:type="dxa" w:w="2160"/>
            <w:tcW w:w="2448" w:type="dxa"/>
          </w:tcPr>
          <w:p>
            <w:r>
              <w:t>Potential 2026 delivery</w:t>
            </w:r>
          </w:p>
        </w:tc>
      </w:tr>
      <w:tr>
        <w:tc>
          <w:tcPr>
            <w:tcW w:type="dxa" w:w="2160"/>
            <w:tcW w:w="4031" w:type="dxa"/>
          </w:tcPr>
          <w:p>
            <w:r>
              <w:t>OP1 submission package: assemble scoped, LOE-backed OP1 package for 2027 intake. July is the typical start of the intake process.</w:t>
            </w:r>
          </w:p>
        </w:tc>
        <w:tc>
          <w:tcPr>
            <w:tcW w:type="dxa" w:w="2160"/>
            <w:tcW w:w="2448" w:type="dxa"/>
          </w:tcPr>
          <w:p>
            <w:r>
              <w:t>Nathan + Phanindher</w:t>
            </w:r>
          </w:p>
        </w:tc>
        <w:tc>
          <w:tcPr>
            <w:tcW w:type="dxa" w:w="2160"/>
            <w:tcW w:w="1872" w:type="dxa"/>
          </w:tcPr>
          <w:p>
            <w:r>
              <w:t>Ready by July 2026</w:t>
            </w:r>
          </w:p>
        </w:tc>
        <w:tc>
          <w:tcPr>
            <w:tcW w:type="dxa" w:w="2160"/>
            <w:tcW w:w="2448" w:type="dxa"/>
          </w:tcPr>
          <w:p>
            <w:r>
              <w:t>2027 dedicated resourcing</w:t>
            </w:r>
          </w:p>
        </w:tc>
      </w:tr>
    </w:tbl>
    <w:p/>
    <w:p>
      <w:pPr>
        <w:pStyle w:val="Heading2"/>
      </w:pPr>
      <w:r>
        <w:t>Why Now</w:t>
      </w:r>
    </w:p>
    <w:p>
      <w:pPr/>
      <w:r>
        <w:t>The CPFR data platform--the harder, more capital-intensive investment--delivers March 31. The foundation has been built. Each month without portal integration means the platform investment sits idle while manual processes continue scaling toward 4,150+ vendors. A documented data leakage vulnerability materialized in January 2026. Amazon (Vendor Central) and Walmart (Luminate) already provide equivalent portal-based vendor data access.</w:t>
      </w:r>
    </w:p>
    <w:p/>
    <w:p>
      <w:pPr/>
      <w:r>
        <w:t>The July OP1 intake window creates a near-term forcing function: a scoped, LOE-backed submission package must be ready by July or the 2027 allocation window is at risk. That gives this team approximately three months to certify MVP scope, complete LOE estimation, and assemble the package. The action plan above is sequenced to meet that window.</w:t>
      </w:r>
    </w:p>
    <w:p/>
    <w:p>
      <w:pPr>
        <w:jc w:val="center"/>
      </w:pPr>
      <w:r>
        <w:rPr>
          <w:i/>
        </w:rPr>
        <w:t>Chewy Confidential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