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50" w:line="269" w:lineRule="auto"/>
        <w:jc w:val="both"/>
      </w:pPr>
      <w:r>
        <w:rPr>
          <w:rFonts w:ascii="Calibri" w:hAnsi="Calibri"/>
          <w:sz w:val="20"/>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Perlindungan Data Pribadi (UU PDP). Penelitian dan proyek ini merancang sistem penjangkaran dan verifikasi kredensial akademik terdesentralisasi menggunakan jaringan blockchain konsorsium permissioned (EVM-compatible / Hyperledger Besu) yang mengintegrasikan standar W3C Verifiable Credentials Data Model v2.0, kanonikalisasi JSON yang mengacu pada RFC 8785, komitmen kriptografis bergaram (salted cryptographic commitment 256-bit), dan pohon Merkle. Sistem dirancang dengan arsitektur Zero-PII On-Chain, di mana tidak ada data pribadi (Personally Identifiable Information) yang disimpan pada buku besar terdistribusi guna menjamin hak penghapusan data (Right to Erasure, Pasal 43 UU PDP), melainkan hanya Merkle Root per batch kelulusan yang dijangkarkan secara on-chain.</w:t>
      </w:r>
    </w:p>
    <w:p>
      <w:pPr>
        <w:spacing w:before="20" w:after="50" w:line="269" w:lineRule="auto"/>
        <w:jc w:val="both"/>
      </w:pPr>
      <w:r>
        <w:rPr>
          <w:rFonts w:ascii="Calibri" w:hAnsi="Calibri"/>
          <w:sz w:val="20"/>
        </w:rPr>
        <w:t>Prototipe smart contract registri (AcademicCredentialRegistry.sol) diimplementasikan menggunakan Solidity 0.8.28 dan OpenZeppelin Contracts v5.6.1, dilengkapi dengan kontrol akses berbasis peran (RBAC), sirkuit pemutus darurat (Pausable), dan verifikasi jalur Merkle.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(Word 0: batchId +36 gas, Word 2: graduateCount +12 gas, Word 6: metadataURI +36 gas). Verifikasi kredensial oleh publik/industri dipanggil tanpa biaya gas (0 gas via eth_call) dengan latensi sub-milidetik (~0,60-0,86 ms) dan ukuran bukti pembuktian logaritmik O(log N).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69" w:lineRule="auto"/>
        <w:jc w:val="both"/>
      </w:pPr>
      <w:r>
        <w:rPr>
          <w:rFonts w:ascii="Calibri" w:hAnsi="Calibri"/>
          <w:b/>
          <w:sz w:val="20"/>
        </w:rPr>
        <w:t xml:space="preserve">Tujuan Kegiatan: </w:t>
      </w:r>
      <w:r>
        <w:rPr>
          <w:rFonts w:ascii="Calibri" w:hAnsi="Calibri"/>
          <w:sz w:val="20"/>
        </w:rPr>
        <w:t>Tujuan utama dari proyek ini adalah merancang, mengimplementasikan, dan menguji arsitektur sistem verifikasi kredensial akademik berbasis blockchain konsorsium yang memenuhi lima pilar utama: (1) Integritas &amp; Anti-Pemalsuan melalui pohon Merkle dan hash bergaram; (2) Perlindungan Privasi &amp; Kepatuhan Hukum sesuai mandat UU PDP No. 27 Tahun 2022 melalui prinsip Zero-PII On-Chain; (3) Skalabilitas Komputasi On-Chain dengan efisiensi gas penjangkaran O(1); (4) Kemudahan Akses Publik dengan verifikasi berbiaya nol (0 gas); dan (5) Tata Kelola &amp; Keamanan Berlapis melalui pemisahan peran RBAC dan jeda darurat sirkuit pemutus (circuit breaker).</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69" w:lineRule="auto"/>
        <w:ind w:left="288"/>
        <w:jc w:val="both"/>
      </w:pPr>
      <w:r>
        <w:rPr>
          <w:rFonts w:ascii="Calibri" w:hAnsi="Calibri"/>
          <w:b/>
          <w:sz w:val="20"/>
        </w:rPr>
        <w:t xml:space="preserve">• </w:t>
      </w:r>
      <w:r>
        <w:rPr>
          <w:rFonts w:ascii="Calibri" w:hAnsi="Calibri"/>
          <w:b/>
          <w:sz w:val="20"/>
        </w:rPr>
        <w:t xml:space="preserve">Fitur Utama Kontrak: </w:t>
      </w:r>
      <w:r>
        <w:rPr>
          <w:rFonts w:ascii="Calibri" w:hAnsi="Calibri"/>
          <w:sz w:val="20"/>
        </w:rPr>
        <w:t>Fitur Fungsional Smart Contract: Registri penjangkaran Merkle root batch (issueBatch), pembatalan/pencabutan kredensial perorangan (revokeCredential), verifikasi keabsahan dokumen off-chain/on-chain (verifyCredential), pembekuan sistem darurat (pause/unpause), serta kontrol peran (AccessControl)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cantSplit/>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Kontrak aktif di alamat 0x5FbDB2315678afecb367f032d93F642f64180aa3, Tx: 0xea3e596f..., Gas: 1.039.368 unit [B-01]. (Eksekusi: 2 Oktober 2026, 18:02:25 WIB, 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6 Daun bergaram terhitung, Merkle Root: 0x6879c11e179813273132ad5cb23b58bd713d41c6535c41fec7f54ca4f3a70647 [B-02], Tabel 5, Diagram 3. (Eksekusi: 2 Oktober 2026, 18:02:25 WIB, 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Root terdaftar Block #2 tx 0xaf555924... [B-03]; verifikasi valid 0 gas [B-04]; manipulasi ditolak [B-05A]; peretas dicegat [B-05B]; pencabutan [B-06]; pause [B-07]. 8 dari 8 test lulus (T-01 s.d. T-08). Log: demo-output.txt (2 Okt 2026 18:02:25 WIB) dan test-output.txt (2 Okt 2026 18:01:47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Gas eksekusi murni issueBatch konstan 164.911 gas (O(1)), bukti selisih calldata deterministik tepat 84 gas, model anggaran verifikasi linier [B-08], Tabel 9, Tabel 11, Tabel 13. Log: perf-output.txt (Eksekusi: 2 Oktober 2026, 19:11:56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Calibri" w:hAnsi="Calibri"/>
          <w:sz w:val="17"/>
          <w:szCs w:val="17"/>
        </w:rPr>
        <w:t>Setiap artefak bukti pelaksanaan diberi kode referensi unik B-01 sampai B-08 dan merujuk langsung ke berkas log keluaran eksekusi nyata pada repositori prototipe (demo-output.txt, test-output.txt, dan perf-output.txt). Seluruh proses perancangan, implementasi prototipe, dan penyusunan laporan ini dibantu oleh agen kecerdasan artifisial (AI) sebagaimana diungkapkan secara jujur dan transparan pada Lampiran B.</w:t>
      </w:r>
    </w:p>
    <w:p>
      <w:pPr>
        <w:spacing w:before="40" w:after="10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rPr>
          <w:rFonts w:ascii="Calibri" w:hAnsi="Calibri"/>
          <w:b/>
          <w:color w:val="2C3E50"/>
          <w:sz w:val="21"/>
        </w:rPr>
        <w:t>4.1 Analisis Kelayakan, Pemangku Kepentingan, dan Arsitektur Jaringan (P1, P2 / Case 1)</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69" w:lineRule="auto"/>
        <w:ind w:left="288"/>
        <w:jc w:val="both"/>
      </w:pPr>
      <w:r>
        <w:rPr>
          <w:rFonts w:ascii="Calibri" w:hAnsi="Calibri"/>
          <w:b/>
          <w:sz w:val="20"/>
        </w:rPr>
        <w:t xml:space="preserve">• </w:t>
      </w:r>
      <w:r>
        <w:rPr>
          <w:rFonts w:ascii="Calibri" w:hAnsi="Calibri"/>
          <w:b/>
          <w:sz w:val="20"/>
        </w:rPr>
        <w:t xml:space="preserve">2. Mahasiswa / Alumni: </w:t>
      </w:r>
      <w:r>
        <w:rPr>
          <w:rFonts w:ascii="Calibri" w:hAnsi="Calibri"/>
          <w:sz w:val="20"/>
        </w:rPr>
        <w:t>Mahasiswa &amp; Alumni (Pemegang / Holder): Memiliki hak kepemilikan mutlak atas dokumen akademiknya, membutuhkan kemudahan portabilitas dokumen digital, serta dilindungi hak privasinya atas data pribadi (UU PDP No. 27/2022).</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Data yang tertulis di ledger tidak dapat dihapus (kontradiksi dengan hak hapus UU PDP).</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Solusi hibrida: Data pribadi disimpan off-chain, hanya Merkle root yang dijangkarkan ke blockchain (Zero-PII).</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Kepatuhan terhadap Pasal 43 UU PDP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rPr>
          <w:rFonts w:ascii="Calibri" w:hAnsi="Calibri"/>
          <w:b/>
          <w:color w:val="2C3E50"/>
          <w:sz w:val="21"/>
        </w:rPr>
        <w:t>4.2 Kriptografi, W3C Verifiable Credentials, dan Integritas Daun Bergaram (P3 / Case 2)</w:t>
      </w:r>
    </w:p>
    <w:p>
      <w:pPr>
        <w:spacing w:before="20" w:after="50" w:line="269" w:lineRule="auto"/>
        <w:jc w:val="both"/>
      </w:pPr>
      <w:r>
        <w:rPr>
          <w:rFonts w:ascii="Calibri" w:hAnsi="Calibri"/>
          <w:b/>
          <w:sz w:val="20"/>
        </w:rPr>
        <w:t xml:space="preserve">Prinsip Kriptografi &amp; Komitmen Bergaram: </w:t>
      </w:r>
      <w:r>
        <w:rPr>
          <w:rFonts w:ascii="Calibri" w:hAnsi="Calibri"/>
          <w:sz w:val="20"/>
        </w:rPr>
        <w:t>Sistem menerapkan fungsi hash kriptografis Keccak-256 (spesifikasi asli Ethereum dengan padding 10*1, yang berbeda dengan standar NIST FIPS 202 SHA3-256).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69" w:lineRule="auto"/>
        <w:jc w:val="both"/>
      </w:pPr>
      <w:r>
        <w:rPr>
          <w:rFonts w:ascii="Calibri" w:hAnsi="Calibri"/>
          <w:b/>
          <w:sz w:val="20"/>
        </w:rPr>
        <w:t xml:space="preserve">Standar W3C VC &amp; Kepatuhan Hak Hapus: </w:t>
      </w:r>
      <w:r>
        <w:rPr>
          <w:rFonts w:ascii="Calibri" w:hAnsi="Calibri"/>
          <w:sz w:val="20"/>
        </w:rPr>
        <w:t>Kanonikalisasi JSON yang mengacu pada RFC 8785 menjamin bahwa susunan kunci atribut kamus selalu deterministik secara byte-level di seluruh platform sistem operasi. Standar W3C Verifiable Credentials Data Model v2.0 mendefinisikan mekanisme credentialStatus untuk memeriksa keabsahan dokumen; penjangkaran status melalui Merkle Root on-chain merupakan pilihan desain arsitektur pada prototipe ini. Dengan desain ini, kepatuhan mutlak terhadap Pasal 43 UU No. 27 Tahun 2022 tentang Perlindungan Data Pribadi (UU PDP) terpenuhi: jika alumni mengajukan hak penghapusan data, universitas dan alumni cukup memusnahkan dokumen lokal dan nilai salt, sehingga daun hash pada blockchain menjadi artefak komputasi acak semu yang mustahil direkonstruksi kembali (cryptographic erasure).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0x25a7dcb10e... (32 byte)</w:t>
            </w:r>
          </w:p>
        </w:tc>
        <w:tc>
          <w:tcPr>
            <w:tcW w:type="dxa" w:w="1872"/>
            <w:shd w:fill="F8F9F9"/>
            <w:tcMar>
              <w:top w:w="50" w:type="dxa"/>
              <w:bottom w:w="50" w:type="dxa"/>
              <w:left w:w="80" w:type="dxa"/>
              <w:right w:w="80" w:type="dxa"/>
            </w:tcMar>
            <w:vAlign w:val="center"/>
          </w:tcPr>
          <w:p>
            <w:r>
              <w:rPr>
                <w:rFonts w:ascii="Calibri" w:hAnsi="Calibri"/>
                <w:sz w:val="14"/>
              </w:rPr>
              <w:t>0xc4d1a22493f0f84e...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0xef67d9830c... (32 byte)</w:t>
            </w:r>
          </w:p>
        </w:tc>
        <w:tc>
          <w:tcPr>
            <w:tcW w:type="dxa" w:w="1872"/>
            <w:tcMar>
              <w:top w:w="50" w:type="dxa"/>
              <w:bottom w:w="50" w:type="dxa"/>
              <w:left w:w="80" w:type="dxa"/>
              <w:right w:w="80" w:type="dxa"/>
            </w:tcMar>
            <w:vAlign w:val="center"/>
          </w:tcPr>
          <w:p>
            <w:r>
              <w:rPr>
                <w:rFonts w:ascii="Calibri" w:hAnsi="Calibri"/>
                <w:sz w:val="14"/>
              </w:rPr>
              <w:t>0x7f0dc81a7a1ee238...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0x98bcefa401... (32 byte)</w:t>
            </w:r>
          </w:p>
        </w:tc>
        <w:tc>
          <w:tcPr>
            <w:tcW w:type="dxa" w:w="1872"/>
            <w:shd w:fill="F8F9F9"/>
            <w:tcMar>
              <w:top w:w="50" w:type="dxa"/>
              <w:bottom w:w="50" w:type="dxa"/>
              <w:left w:w="80" w:type="dxa"/>
              <w:right w:w="80" w:type="dxa"/>
            </w:tcMar>
            <w:vAlign w:val="center"/>
          </w:tcPr>
          <w:p>
            <w:r>
              <w:rPr>
                <w:rFonts w:ascii="Calibri" w:hAnsi="Calibri"/>
                <w:sz w:val="14"/>
              </w:rPr>
              <w:t>0x067083cc811ecdac...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0x12dcf678aa... (32 byte)</w:t>
            </w:r>
          </w:p>
        </w:tc>
        <w:tc>
          <w:tcPr>
            <w:tcW w:type="dxa" w:w="1872"/>
            <w:tcMar>
              <w:top w:w="50" w:type="dxa"/>
              <w:bottom w:w="50" w:type="dxa"/>
              <w:left w:w="80" w:type="dxa"/>
              <w:right w:w="80" w:type="dxa"/>
            </w:tcMar>
            <w:vAlign w:val="center"/>
          </w:tcPr>
          <w:p>
            <w:r>
              <w:rPr>
                <w:rFonts w:ascii="Calibri" w:hAnsi="Calibri"/>
                <w:sz w:val="14"/>
              </w:rPr>
              <w:t>0xeed86c98124312bf...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0xab6790ef43... (32 byte)</w:t>
            </w:r>
          </w:p>
        </w:tc>
        <w:tc>
          <w:tcPr>
            <w:tcW w:type="dxa" w:w="1872"/>
            <w:shd w:fill="F8F9F9"/>
            <w:tcMar>
              <w:top w:w="50" w:type="dxa"/>
              <w:bottom w:w="50" w:type="dxa"/>
              <w:left w:w="80" w:type="dxa"/>
              <w:right w:w="80" w:type="dxa"/>
            </w:tcMar>
            <w:vAlign w:val="center"/>
          </w:tcPr>
          <w:p>
            <w:r>
              <w:rPr>
                <w:rFonts w:ascii="Calibri" w:hAnsi="Calibri"/>
                <w:sz w:val="14"/>
              </w:rPr>
              <w:t>0x1d8e13d64338026c...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0x45a9012cdb... (32 byte)</w:t>
            </w:r>
          </w:p>
        </w:tc>
        <w:tc>
          <w:tcPr>
            <w:tcW w:type="dxa" w:w="1872"/>
            <w:tcMar>
              <w:top w:w="50" w:type="dxa"/>
              <w:bottom w:w="50" w:type="dxa"/>
              <w:left w:w="80" w:type="dxa"/>
              <w:right w:w="80" w:type="dxa"/>
            </w:tcMar>
            <w:vAlign w:val="center"/>
          </w:tcPr>
          <w:p>
            <w:r>
              <w:rPr>
                <w:rFonts w:ascii="Calibri" w:hAnsi="Calibri"/>
                <w:sz w:val="14"/>
              </w:rPr>
              <w:t>0xffb33bd42ca39de6...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rPr>
          <w:rFonts w:ascii="Calibri" w:hAnsi="Calibri"/>
          <w:b/>
          <w:color w:val="2C3E50"/>
          <w:sz w:val="21"/>
        </w:rPr>
        <w:t>4.3 Jaringan P2P, Siklus Transaksi, dan Mekanisme Konsensus (P2, P3 / Case 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rPr>
          <w:rFonts w:ascii="Calibri" w:hAnsi="Calibri"/>
          <w:b/>
          <w:color w:val="2C3E50"/>
          <w:sz w:val="21"/>
        </w:rPr>
        <w:t>4.4 Evaluasi Model UTXO Bitcoin vs Account-Based State Registry (Case 4)</w:t>
      </w:r>
    </w:p>
    <w:p>
      <w:pPr>
        <w:spacing w:before="20" w:after="50" w:line="269" w:lineRule="auto"/>
        <w:jc w:val="both"/>
      </w:pPr>
      <w:r>
        <w:rPr>
          <w:rFonts w:ascii="Calibri" w:hAnsi="Calibri"/>
          <w:b/>
          <w:sz w:val="20"/>
        </w:rPr>
        <w:t xml:space="preserve">Analisis Model UTXO: </w:t>
      </w:r>
      <w:r>
        <w:rPr>
          <w:rFonts w:ascii="Calibri" w:hAnsi="Calibri"/>
          <w:sz w:val="20"/>
        </w:rPr>
        <w:t>Model transaksi Unspent Transaction Output (UTXO) pada arsitektur Bitcoin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[Kasus 4]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rPr>
          <w:rFonts w:ascii="Calibri" w:hAnsi="Calibri"/>
          <w:b/>
          <w:color w:val="2C3E50"/>
          <w:sz w:val="21"/>
        </w:rPr>
        <w:t>4.5 Model Akun EVM, Analisis Ketat Komponen Gas, dan Model Regresi (P3, P5 / Case 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30.000.000; Gas Used: 211.084 gas (penjangkaran batch on-chain) / 187.873 s.d. 187.957 gas (benchmark); Status: 1 (Success).</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0x6879c11e..., timestamp); Tx Hash: 0xaf555924fd6db1366a269faabd6dcc2efedce4a7177a9674c8bee194bf777dc9 [B-03].</w:t>
            </w:r>
          </w:p>
        </w:tc>
      </w:tr>
    </w:tbl>
    <w:p>
      <w:pPr>
        <w:spacing w:before="20" w:after="50" w:line="269" w:lineRule="auto"/>
        <w:jc w:val="both"/>
      </w:pPr>
      <w:r>
        <w:rPr>
          <w:rFonts w:ascii="Calibri" w:hAnsi="Calibri"/>
          <w:b/>
          <w:sz w:val="20"/>
        </w:rPr>
        <w:t xml:space="preserve">Perhitungan Ketat Komponen Gas issueBatch: </w:t>
      </w:r>
      <w:r>
        <w:rPr>
          <w:rFonts w:ascii="Calibri" w:hAnsi="Calibri"/>
          <w:sz w:val="20"/>
        </w:rPr>
        <w:t>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(16 gas per byte non-nol dan 4 gas per byte nol):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1.963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2.012 gas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2.046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Calibri" w:hAnsi="Calibri"/>
          <w:b/>
          <w:sz w:val="20"/>
        </w:rPr>
        <w:t xml:space="preserve">Persamaan Regresi Linier: </w:t>
      </w:r>
      <w:r>
        <w:rPr>
          <w:rFonts w:ascii="Calibri" w:hAnsi="Calibri"/>
          <w:sz w:val="20"/>
        </w:rPr>
        <w:t>pureVerifyGas(k) = 7.795,52 + 252,62 * k (di mana k = jumlah sibling hash = ceil(log2 N))</w:t>
      </w:r>
    </w:p>
    <w:p>
      <w:pPr>
        <w:spacing w:before="10" w:after="30" w:line="269" w:lineRule="auto"/>
        <w:ind w:left="288"/>
        <w:jc w:val="both"/>
      </w:pPr>
      <w:r>
        <w:rPr>
          <w:rFonts w:ascii="Calibri" w:hAnsi="Calibri"/>
          <w:b/>
          <w:sz w:val="20"/>
        </w:rPr>
        <w:t xml:space="preserve">• </w:t>
      </w:r>
      <w:r>
        <w:rPr>
          <w:rFonts w:ascii="Calibri" w:hAnsi="Calibri"/>
          <w:b/>
          <w:sz w:val="20"/>
        </w:rPr>
        <w:t xml:space="preserve">1. Intercept Model: </w:t>
      </w:r>
      <w:r>
        <w:rPr>
          <w:rFonts w:ascii="Calibri" w:hAnsi="Calibri"/>
          <w:sz w:val="20"/>
        </w:rPr>
        <w:t>Biaya Tetap (Intercept) ≈ 7.796 gas: Berasal dari 2 kali pembacaan state storage via SLOAD (pemeriksaan batch dan status pembatalan ~4.200 gas), pemanggilan eksternal, dekoding calldata ke memori, dan pembungkusan return string. Batas kelayakan ditetapkan &lt;= 10.000 gas (memberikan safety margin ~28% di atas hasil ukur).</w:t>
      </w:r>
    </w:p>
    <w:p>
      <w:pPr>
        <w:spacing w:before="10" w:after="30" w:line="269" w:lineRule="auto"/>
        <w:ind w:left="288"/>
        <w:jc w:val="both"/>
      </w:pPr>
      <w:r>
        <w:rPr>
          <w:rFonts w:ascii="Calibri" w:hAnsi="Calibri"/>
          <w:b/>
          <w:sz w:val="20"/>
        </w:rPr>
        <w:t xml:space="preserve">• </w:t>
      </w:r>
      <w:r>
        <w:rPr>
          <w:rFonts w:ascii="Calibri" w:hAnsi="Calibri"/>
          <w:b/>
          <w:sz w:val="20"/>
        </w:rPr>
        <w:t xml:space="preserve">2. Slope Model: </w:t>
      </w:r>
      <w:r>
        <w:rPr>
          <w:rFonts w:ascii="Calibri" w:hAnsi="Calibri"/>
          <w:sz w:val="20"/>
        </w:rPr>
        <w:t>Kemiringan (Slope) ≈ 252,6 gas/sibling: Merefleksikan perkiraan kasar opcode loop MerkleProof.verify per iterasi: KECCAK256 (64 byte input: 42 gas) + MLOAD/MSTORE (6 gas) + percabangan &amp; stack LT/JUMP/DUP/SWAP (~15 gas). Batas kelayakan ditetapkan &lt;= 350 gas/sibling (memberikan safety margin ~38% di atas hasil ukur 252,6 gas/sibling).</w:t>
      </w:r>
    </w:p>
    <w:p>
      <w:pPr>
        <w:spacing w:before="10" w:after="30" w:line="269" w:lineRule="auto"/>
        <w:ind w:left="288"/>
        <w:jc w:val="both"/>
      </w:pPr>
      <w:r>
        <w:rPr>
          <w:rFonts w:ascii="Calibri" w:hAnsi="Calibri"/>
          <w:b/>
          <w:sz w:val="20"/>
        </w:rPr>
        <w:t xml:space="preserve">• </w:t>
      </w:r>
      <w:r>
        <w:rPr>
          <w:rFonts w:ascii="Calibri" w:hAnsi="Calibri"/>
          <w:b/>
          <w:sz w:val="20"/>
        </w:rPr>
        <w:t xml:space="preserve">3. Kriteria Evaluasi: </w:t>
      </w:r>
      <w:r>
        <w:rPr>
          <w:rFonts w:ascii="Calibri" w:hAnsi="Calibri"/>
          <w:sz w:val="20"/>
        </w:rPr>
        <w:t>Batas Kelayakan Performa: pureVerifyGas(k) &lt;= 10.000 + (k * 350) gas. Untuk N=1.000 (k=10), batasnya adalah &lt;= 13.500 gas; hasil nyata terukur adalah 10.322 gas (LULUS baseline kelayakan).</w:t>
      </w:r>
    </w:p>
    <w:p>
      <w:pPr>
        <w:spacing w:before="10" w:after="30" w:line="269" w:lineRule="auto"/>
        <w:ind w:left="288"/>
        <w:jc w:val="both"/>
      </w:pPr>
      <w:r>
        <w:rPr>
          <w:rFonts w:ascii="Calibri" w:hAnsi="Calibri"/>
          <w:b/>
          <w:sz w:val="20"/>
        </w:rPr>
        <w:t xml:space="preserve">• </w:t>
      </w:r>
      <w:r>
        <w:rPr>
          <w:rFonts w:ascii="Calibri" w:hAnsi="Calibri"/>
          <w:b/>
          <w:sz w:val="20"/>
        </w:rPr>
        <w:t xml:space="preserve">4. Gas Nol Pemverifikasi: </w:t>
      </w:r>
      <w:r>
        <w:rPr>
          <w:rFonts w:ascii="Calibri" w:hAnsi="Calibri"/>
          <w:sz w:val="20"/>
        </w:rPr>
        <w:t>Biaya Verifikasi bagi Publik / HRD: 0 gas (eksekusi kueri view melalui pemanggilan eth_call pada node JSON-RPC tanpa pembuatan transaksi, sehingga 100% bebas biaya bagi masyarakat).</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(Patuh UU PDP)</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spacing w:before="20" w:after="50" w:line="269" w:lineRule="auto"/>
        <w:jc w:val="both"/>
      </w:pPr>
      <w:r>
        <w:rPr>
          <w:rFonts w:ascii="Calibri" w:hAnsi="Calibri"/>
          <w:sz w:val="20"/>
        </w:rPr>
        <w:t>Kriteria penerimaan (acceptance criteria) disusun dengan merujuk pada standar ilmiah, spesifikasi formal, dan model kelayakan performa empiris, sebagaimana dirangkum dalam Tabel Kriteria Penerimaan.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T-01 / B-03</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Penjangkaran root batch sukses menyimpan root dan memancarkan event BatchIssued.</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Transaksi sukses (status=1), exists==true.</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W3C VC Data Model v2.0, Bagian 4.10 (Status) [URL dibuka: https://www.w3.org/TR/vc-data-model-2.0/#status]: Konsisten dengan mekanisme penemuan status kredensial (credentialStatus) untuk memeriksa keabsahan dokumen via rujukan status eksternal.</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Root terdaftar di Block #2; event BatchIssued terpancar sah.</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T-02 / B-04</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Verifikasi ijazah sah mengembalikan status valid tanpa memodifikasi storage state.</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isValid==true, status 'VALID', gas pemverifikasi = 0.</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Dokumentasi Resmi Ethereum JSON-RPC API, metode eth_call [URL dibuka: https://ethereum.org/en/developers/docs/apis/json-rpc/#eth_call]: Eksekusi pesan panggilan simulasi lokal pada node tanpa transaksi on-chain, sehingga tidak memodifikasi status (state) dan bebas biaya gas bagi publik (eth_call consumes zero gas).</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Mengembalikan true, status 'VALID', 0 gas verifikator publik.</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Fungsional</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T-05 / B-06</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Pencabutan kredensial oleh REVOKER_ROLE langsung membatalkan keabsahan target (O(1)).</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Status verifikasi pasca-cabut berubah menjadi false ('CREDENTIAL_REVOKED').</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Pembanding Desain vs W3C Bitstring Status List v1.0: Berbeda dari pendekatan bitstring terkompresi off-chain,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Status tercabut seketika; ijazah lain tetap valid.</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T-03 / B-05A</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Manipulasi klaim data (IPK, nama) atau salt wajib terdeteksi dan ditolak oleh kontrak.</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isValid==false, pesan 'INVALID_PROOF_OR_TAMPERED'.</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Konsisten dengan spesifikasi Keccak asli (Bertoni et al., 2011, The Keccak Reference): Resistensi benturan dan pre-image varian asli Keccak-256 (padding 10*1, berbeda dari FIPS 202 SHA3-256 ber-domain separator 0x06) menjamin daun termutasi menghasilkan hash berbeda sehingga gagal verifikasi root.</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Ditolak seketika oleh verifikasi Merkle on-chain.</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T-04, T-06 / B-05B</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Pemanggilan fungsi istimewa oleh akun tak berwenang wajib dibatalkan (revert).</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Revert dengan AccessControlUnauthorizedAccount.</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Konsisten secara umum dengan prinsip Least Privilege (Saltzer &amp; Schroeder, 1975, Proceedings of the IEEE, Vol. 63, No. 9): Setiap entitas hanya diberikan hak akses minimum yang esensial, diimplementasikan secara terisolasi via pustaka OpenZeppelin Contracts v5 AccessControl.</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Transaksi penyerang dibatalkan (revert) secara deterministik.</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Keamanan</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T-07 / B-07</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Aktivasi jeda darurat (pause()) membekukan operasi penulisan saat insiden keamanan.</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Penulisan revert EnforcedPause; pemulihan via unpause().</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Dokumentasi OpenZeppelin Contracts v5 Pausable &amp; ConsenSys Circuit Breaker Pattern [URL dibuka: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Penulisan dicegat saat pause, normal pasca-unpause.</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Konsumsi gas issueBatch independen dari jumlah lulusan (O(1) gas scalability).</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Deviasi relatif gas eksekusi murni antar-skala &lt;= 1.0%; total gas &lt;= 1.0% Block Gas Limit (30M gas).</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Konsep Kompresi Merkle Tree (Merkle, 1989, "A Certified Digital Signature", CRYPTO '89, LNCS 435, Springer-Verlag) &amp; Pengukuran Empiris EVM: Merkle (1989) hanya mendukung konsep kompresi N daun/kredensial menjadi satu root 32-byte. Klaim bahwa biaya penulisan penyimpanan konstan O(1) (SSTORE) merupakan sifat teknis penyimpanan 32 byte di EVM dan hasil ukur prototipe (B-08), bukan dikaitkan ke makalah Merkle; selisih gas transaksi riil terbukti murni berasal dari payload calldata ABI (EIP-2028).</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Gas Eksekusi Murni N=6: 164.911 gas vs N=1000: 164.911 gas (Delta = 0 gas = 0,0000%).</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Panjang pembuktian Merkle Proof terikat batas logaritmik ceil(log2 N).</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Panjang proof &lt;= ceil(log2 N) (3 untuk N=6, 7 untuk N=100, 10 untuk N=1.000).</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Sifat Struktural Pohon Biner Lengkap (Complete Binary Tree): Pada pohon biner lengkap beranggotakan N daun, jalur verifikasi (audit path) dari sembarang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Tepat 3, 7, dan 10 sibling hash (100% presisi matematis).</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shd w:fill="F8F9F9"/>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shd w:fill="F8F9F9"/>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Estimasi komputasi murni eksekusi internal EVM verifikasi berada di ambang batas linier.</w:t>
            </w:r>
          </w:p>
        </w:tc>
        <w:tc>
          <w:tcPr>
            <w:tcW w:type="dxa" w:w="1584"/>
            <w:shd w:fill="F8F9F9"/>
            <w:tcMar>
              <w:top w:w="50" w:type="dxa"/>
              <w:bottom w:w="50" w:type="dxa"/>
              <w:left w:w="80" w:type="dxa"/>
              <w:right w:w="80" w:type="dxa"/>
            </w:tcMar>
            <w:vAlign w:val="center"/>
          </w:tcPr>
          <w:p>
            <w:pPr>
              <w:spacing w:line="252" w:lineRule="auto" w:after="10" w:before="0"/>
            </w:pPr>
            <w:r/>
            <w:r>
              <w:rPr>
                <w:rFonts w:ascii="Calibri" w:hAnsi="Calibri"/>
                <w:b w:val="0"/>
                <w:sz w:val="14"/>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Pr>
          <w:p>
            <w:pPr>
              <w:spacing w:line="252" w:lineRule="auto" w:after="10" w:before="0"/>
            </w:pPr>
            <w:r/>
            <w:r>
              <w:rPr>
                <w:rFonts w:ascii="Calibri" w:hAnsi="Calibri"/>
                <w:b w:val="0"/>
                <w:sz w:val="14"/>
              </w:rPr>
              <w:t>Model Anggaran Linier Pasca-Pengukuran: Pertumbuhan terukur ~252 gas/sibling konsisten dengan O(log N) dan perkiraan analitis biaya opcode loop MerkleProof.verify (KECCAK256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Pr>
          <w:p>
            <w:pPr>
              <w:spacing w:line="252" w:lineRule="auto" w:after="10" w:before="0"/>
            </w:pPr>
            <w:r/>
            <w:r>
              <w:rPr>
                <w:rFonts w:ascii="Calibri" w:hAnsi="Calibri"/>
                <w:b w:val="0"/>
                <w:sz w:val="14"/>
              </w:rPr>
              <w:t>8.552 gas (N=6) hingga 10.318 gas (N=1000).</w:t>
            </w:r>
          </w:p>
        </w:tc>
        <w:tc>
          <w:tcPr>
            <w:tcW w:type="dxa" w:w="720"/>
            <w:shd w:fill="F8F9F9"/>
            <w:tcMar>
              <w:top w:w="50" w:type="dxa"/>
              <w:bottom w:w="50" w:type="dxa"/>
              <w:left w:w="80" w:type="dxa"/>
              <w:right w:w="80" w:type="dxa"/>
            </w:tcMar>
            <w:vAlign w:val="center"/>
          </w:tcPr>
          <w:p>
            <w:pPr>
              <w:spacing w:line="252" w:lineRule="auto" w:after="10" w:before="0"/>
            </w:pPr>
            <w:r/>
            <w:r>
              <w:rPr>
                <w:rFonts w:ascii="Calibri" w:hAnsi="Calibri"/>
                <w:b/>
                <w:sz w:val="14"/>
              </w:rPr>
              <w:t>LULUS</w:t>
            </w:r>
          </w:p>
        </w:tc>
      </w:tr>
      <w:tr>
        <w:trPr>
          <w:cantSplit/>
        </w:trPr>
        <w:tc>
          <w:tcPr>
            <w:tcW w:type="dxa" w:w="1152"/>
            <w:tcMar>
              <w:top w:w="50" w:type="dxa"/>
              <w:bottom w:w="50" w:type="dxa"/>
              <w:left w:w="80" w:type="dxa"/>
              <w:right w:w="80" w:type="dxa"/>
            </w:tcMar>
            <w:vAlign w:val="center"/>
          </w:tcPr>
          <w:p>
            <w:pPr>
              <w:spacing w:line="252" w:lineRule="auto" w:after="10" w:before="0"/>
            </w:pPr>
            <w:r/>
            <w:r>
              <w:rPr>
                <w:rFonts w:ascii="Calibri" w:hAnsi="Calibri"/>
                <w:b w:val="0"/>
                <w:sz w:val="14"/>
              </w:rPr>
              <w:t>Performa</w:t>
            </w:r>
          </w:p>
        </w:tc>
        <w:tc>
          <w:tcPr>
            <w:tcW w:type="dxa" w:w="1008"/>
            <w:tcMar>
              <w:top w:w="50" w:type="dxa"/>
              <w:bottom w:w="50" w:type="dxa"/>
              <w:left w:w="80" w:type="dxa"/>
              <w:right w:w="80" w:type="dxa"/>
            </w:tcMar>
            <w:vAlign w:val="center"/>
          </w:tcPr>
          <w:p>
            <w:pPr>
              <w:spacing w:line="252" w:lineRule="auto" w:after="10" w:before="0"/>
            </w:pPr>
            <w:r/>
            <w:r>
              <w:rPr>
                <w:rFonts w:ascii="Calibri" w:hAnsi="Calibri"/>
                <w:b w:val="0"/>
                <w:sz w:val="14"/>
              </w:rPr>
              <w:t>T-08 / B-08</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Pembuatan Merkle Tree off-chain 1.000 ijazah tuntas di bawah 1 detik (&lt; 1.000 ms).</w:t>
            </w:r>
          </w:p>
        </w:tc>
        <w:tc>
          <w:tcPr>
            <w:tcW w:type="dxa" w:w="1584"/>
            <w:tcMar>
              <w:top w:w="50" w:type="dxa"/>
              <w:bottom w:w="50" w:type="dxa"/>
              <w:left w:w="80" w:type="dxa"/>
              <w:right w:w="80" w:type="dxa"/>
            </w:tcMar>
            <w:vAlign w:val="center"/>
          </w:tcPr>
          <w:p>
            <w:pPr>
              <w:spacing w:line="252" w:lineRule="auto" w:after="10" w:before="0"/>
            </w:pPr>
            <w:r/>
            <w:r>
              <w:rPr>
                <w:rFonts w:ascii="Calibri" w:hAnsi="Calibri"/>
                <w:b w:val="0"/>
                <w:sz w:val="14"/>
              </w:rPr>
              <w:t>Durasi rata-rata &lt; 1.000 ms pada perangkat keras standar.</w:t>
            </w:r>
          </w:p>
        </w:tc>
        <w:tc>
          <w:tcPr>
            <w:tcW w:type="dxa" w:w="2016"/>
            <w:tcMar>
              <w:top w:w="50" w:type="dxa"/>
              <w:bottom w:w="50" w:type="dxa"/>
              <w:left w:w="80" w:type="dxa"/>
              <w:right w:w="80" w:type="dxa"/>
            </w:tcMar>
            <w:vAlign w:val="center"/>
          </w:tcPr>
          <w:p>
            <w:pPr>
              <w:spacing w:line="252" w:lineRule="auto" w:after="10" w:before="0"/>
            </w:pPr>
            <w:r/>
            <w:r>
              <w:rPr>
                <w:rFonts w:ascii="Calibri" w:hAnsi="Calibri"/>
                <w:b w:val="0"/>
                <w:sz w:val="14"/>
              </w:rPr>
              <w:t>Konsisten dengan pedoman umum batas responsivitas interaksi manusia-komputer (Nielsen, 1993, Usability Engineering, Academic Press): Eksekusi komputasi sub-detik (&lt; 1.000 ms) menjaga alur kognitif pengguna tetap terjaga tanpa distraksi jeda antarmuka.</w:t>
            </w:r>
          </w:p>
        </w:tc>
        <w:tc>
          <w:tcPr>
            <w:tcW w:type="dxa" w:w="1296"/>
            <w:tcMar>
              <w:top w:w="50" w:type="dxa"/>
              <w:bottom w:w="50" w:type="dxa"/>
              <w:left w:w="80" w:type="dxa"/>
              <w:right w:w="80" w:type="dxa"/>
            </w:tcMar>
            <w:vAlign w:val="center"/>
          </w:tcPr>
          <w:p>
            <w:pPr>
              <w:spacing w:line="252" w:lineRule="auto" w:after="10" w:before="0"/>
            </w:pPr>
            <w:r/>
            <w:r>
              <w:rPr>
                <w:rFonts w:ascii="Calibri" w:hAnsi="Calibri"/>
                <w:b w:val="0"/>
                <w:sz w:val="14"/>
              </w:rPr>
              <w:t>Rata-rata 112,88 ms (rentang 108,19 sampai 126,69 ms).</w:t>
            </w:r>
          </w:p>
        </w:tc>
        <w:tc>
          <w:tcPr>
            <w:tcW w:type="dxa" w:w="720"/>
            <w:tcMar>
              <w:top w:w="50" w:type="dxa"/>
              <w:bottom w:w="50" w:type="dxa"/>
              <w:left w:w="80" w:type="dxa"/>
              <w:right w:w="80" w:type="dxa"/>
            </w:tcMar>
            <w:vAlign w:val="center"/>
          </w:tcPr>
          <w:p>
            <w:pPr>
              <w:spacing w:line="252" w:lineRule="auto" w:after="10" w:before="0"/>
            </w:pPr>
            <w:r/>
            <w:r>
              <w:rPr>
                <w:rFonts w:ascii="Calibri" w:hAnsi="Calibri"/>
                <w:b/>
                <w:sz w:val="14"/>
              </w:rPr>
              <w:t>LULUS</w:t>
            </w:r>
          </w:p>
        </w:tc>
      </w:tr>
    </w:tbl>
    <w:p>
      <w:pPr>
        <w:spacing w:before="20" w:after="50" w:line="269" w:lineRule="auto"/>
        <w:jc w:val="both"/>
      </w:pPr>
      <w:r>
        <w:rPr>
          <w:rFonts w:ascii="Calibri" w:hAnsi="Calibri"/>
          <w:sz w:val="20"/>
        </w:rPr>
        <w:t>Seluruh rangkaian unit test otomatis (T-01 s.d. T-08) pada test/AcademicCredentialRegistry.test.js dieksekusi menggunakan Hardhat Test Runner dengan hasil kelulusan lengkap sebagaimana dirangkum pada Tabel 9.</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[Positif] Penerbitan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[B-03] / Block #2</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[Positif] Verifikasi ijazah sah dengan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[B-04] / Gas: 0</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[Negatif] Manipulasi nilai klaim IPK atau nilai salt pada daun.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[B-05A]</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penerbitan batch oleh peretas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[B-05B]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[Fungsional] Pencabutan kredensial oleh REVOKER_ROLE.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[B-06]</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[Akses Kontrol] Upaya pencabutan ijazah oleh pihak ketiga tanpa hak.</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[test-output]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[Batas/Keamanan] Aktivasi jeda darurat (pause) oleh Admin.</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[B-07]</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10" w:after="10" w:line="252" w:lineRule="auto"/>
              <w:jc w:val="left"/>
            </w:pPr>
            <w:r>
              <w:rPr>
                <w:rFonts w:ascii="Calibri" w:hAnsi="Calibri"/>
                <w:sz w:val="15"/>
              </w:rPr>
              <w:t>[Performa] Skalabilitas gas O(1) dan batas panjang proof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[B-08]</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1.10 ms (SD: 0.29) [0.84 - 2.18]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12.59 ms (SD: 1.41) [11.21 - 17.44]</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122.02 ms (SD: 8.63) [114.51 - 160.19]</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187.874 gas (SD: 8)</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187.923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187.957 gas (SD: 8)</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55.303 gas (SD: 9)</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55.329 gas (SD: 6)</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55.339 gas (SD: 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32.237 gas (SD: 14)</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35.312 gas (SD: 15)</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37.610 gas (SD: 26)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2.686 gas (SD: 12)</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4.759 gas (SD: 13)</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6.298 gas (SD: 17)</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8.551 gas (SD: 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9.553 gas (SD: 11)</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10.312 gas (SD: 19)</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Model Linier: 7.795 + 252,6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0.60 ms (SD: 0.19)</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0.63 ms (SD: 0.23)</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0.86 ms (SD: 0.32)</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69" w:lineRule="auto"/>
        <w:jc w:val="both"/>
      </w:pPr>
      <w:r>
        <w:rPr>
          <w:rFonts w:ascii="Calibri" w:hAnsi="Calibri"/>
          <w:b/>
          <w:sz w:val="20"/>
        </w:rPr>
        <w:t xml:space="preserve">Keputusan Desain &amp; Trade-Off: </w:t>
      </w:r>
      <w:r>
        <w:rPr>
          <w:rFonts w:ascii="Calibri" w:hAnsi="Calibri"/>
          <w:sz w:val="20"/>
        </w:rPr>
        <w:t>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dengan gas konstan 164.911 gas (hemat &gt; 98%), dengan konsekuensi pemverifikasi harus menyertakan bukti jalur Merkle berukuran O(log N); (2) Arsitektur Zero-PII Off-Chain vs On-Chain Metadata: Melindungi privasi alumni sesuai UU PDP,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xml:space="preserve">• </w:t>
      </w:r>
      <w:r>
        <w:rPr>
          <w:rFonts w:ascii="Calibri" w:hAnsi="Calibri"/>
          <w:b/>
          <w:sz w:val="20"/>
        </w:rPr>
        <w:t xml:space="preserve">3. Perangkat Keras: </w:t>
      </w:r>
      <w:r>
        <w:rPr>
          <w:rFonts w:ascii="Calibri" w:hAnsi="Calibri"/>
          <w:sz w:val="20"/>
        </w:rPr>
        <w:t>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69" w:lineRule="auto"/>
        <w:ind w:left="288"/>
        <w:jc w:val="both"/>
      </w:pPr>
      <w:r>
        <w:rPr>
          <w:rFonts w:ascii="Calibri" w:hAnsi="Calibri"/>
          <w:b/>
          <w:sz w:val="20"/>
        </w:rPr>
        <w:t xml:space="preserve">• </w:t>
      </w:r>
      <w:r>
        <w:rPr>
          <w:rFonts w:ascii="Calibri" w:hAnsi="Calibri"/>
          <w:b/>
          <w:sz w:val="20"/>
        </w:rPr>
        <w:t xml:space="preserve">4. Simulasi Gas: </w:t>
      </w:r>
      <w:r>
        <w:rPr>
          <w:rFonts w:ascii="Calibri" w:hAnsi="Calibri"/>
          <w:sz w:val="20"/>
        </w:rPr>
        <w:t>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69" w:lineRule="auto"/>
        <w:jc w:val="both"/>
      </w:pPr>
      <w:r>
        <w:rPr>
          <w:rFonts w:ascii="Calibri" w:hAnsi="Calibri"/>
          <w:b/>
          <w:sz w:val="20"/>
        </w:rPr>
        <w:t xml:space="preserve">Pertimbangan Etika, Regulasi, &amp; Roadmap: </w:t>
      </w:r>
      <w:r>
        <w:rPr>
          <w:rFonts w:ascii="Calibri" w:hAnsi="Calibri"/>
          <w:sz w:val="20"/>
        </w:rPr>
        <w:t>Implementasi sistem ini menegakkan prinsip keadilan sosial dan non-diskriminasi. Biaya verifikasi yang ditetapkan 0 gas menjamin bahwa lulusan dari keluarga prasejahtera dan instansi UMKM/pemberi kerja lokal dapat memverifikasi keabsahan dokumen tanpa hambatan finansial.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Roadmap pengembangan masa depan mencakup integrasi skema W3C Bitstring Status List v1.0 untuk kompresi pencabutan tingkat lanjut dan penerapan Zero-Knowledge Proofs (BBS+ Signatures) untuk Selective Disclosure (misal membuktikan 'IPK &gt;= 3.50' tanpa membuka angka IPK eksak).</w:t>
      </w:r>
    </w:p>
    <w:p>
      <w:pPr>
        <w:spacing w:before="20" w:after="50" w:line="269" w:lineRule="auto"/>
        <w:jc w:val="both"/>
      </w:pPr>
      <w:r>
        <w:rPr>
          <w:rFonts w:ascii="Calibri" w:hAnsi="Calibri"/>
          <w:b/>
          <w:sz w:val="20"/>
        </w:rPr>
        <w:t xml:space="preserve">Refleksi Individual Penulis (Fajar Geran Arifin / 237006079): </w:t>
      </w:r>
      <w:r>
        <w:rPr>
          <w:rFonts w:ascii="Calibri" w:hAnsi="Calibri"/>
          <w:sz w:val="20"/>
        </w:rPr>
        <w:t>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69" w:lineRule="auto"/>
        <w:ind w:left="288"/>
        <w:jc w:val="both"/>
      </w:pPr>
      <w:r>
        <w:rPr>
          <w:rFonts w:ascii="Calibri" w:hAnsi="Calibri"/>
          <w:b/>
          <w:sz w:val="20"/>
        </w:rPr>
        <w:t xml:space="preserve">• </w:t>
      </w:r>
      <w:r>
        <w:rPr>
          <w:rFonts w:ascii="Calibri" w:hAnsi="Calibri"/>
          <w:b/>
          <w:sz w:val="20"/>
        </w:rPr>
        <w:t xml:space="preserve">2. Perlindungan Privasi: </w:t>
      </w:r>
      <w:r>
        <w:rPr>
          <w:rFonts w:ascii="Calibri" w:hAnsi="Calibri"/>
          <w:sz w:val="20"/>
        </w:rPr>
        <w:t>Arsitektur Zero-PII On-Chain yang memisahkan dokumen lengkap off-chain bergaram (256-bit salt) dari Merkle root on-chain berhasil menjamin kepatuhan penuh terhadap hak penghapusan data pribadi (Right to Erasure, Pasal 43 UU PDP No. 27/2022) sekaligus mengeliminasi ancaman serangan kamus terhadap atribut bernilai rendah.</w:t>
      </w:r>
    </w:p>
    <w:p>
      <w:pPr>
        <w:spacing w:before="10" w:after="30" w:line="269" w:lineRule="auto"/>
        <w:ind w:left="288"/>
        <w:jc w:val="both"/>
      </w:pPr>
      <w:r>
        <w:rPr>
          <w:rFonts w:ascii="Calibri" w:hAnsi="Calibri"/>
          <w:b/>
          <w:sz w:val="20"/>
        </w:rPr>
        <w:t xml:space="preserve">• </w:t>
      </w:r>
      <w:r>
        <w:rPr>
          <w:rFonts w:ascii="Calibri" w:hAnsi="Calibri"/>
          <w:b/>
          <w:sz w:val="20"/>
        </w:rPr>
        <w:t xml:space="preserve">3. Skalabilitas O(1): </w:t>
      </w:r>
      <w:r>
        <w:rPr>
          <w:rFonts w:ascii="Calibri" w:hAnsi="Calibri"/>
          <w:sz w:val="20"/>
        </w:rPr>
        <w:t>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w:t>
      </w:r>
    </w:p>
    <w:p>
      <w:pPr>
        <w:spacing w:before="10" w:after="30" w:line="269" w:lineRule="auto"/>
        <w:ind w:left="288"/>
        <w:jc w:val="both"/>
      </w:pPr>
      <w:r>
        <w:rPr>
          <w:rFonts w:ascii="Calibri" w:hAnsi="Calibri"/>
          <w:b/>
          <w:sz w:val="20"/>
        </w:rPr>
        <w:t xml:space="preserve">• </w:t>
      </w:r>
      <w:r>
        <w:rPr>
          <w:rFonts w:ascii="Calibri" w:hAnsi="Calibri"/>
          <w:b/>
          <w:sz w:val="20"/>
        </w:rPr>
        <w:t xml:space="preserve">4. Akses Verifikasi Gratis: </w:t>
      </w:r>
      <w:r>
        <w:rPr>
          <w:rFonts w:ascii="Calibri" w:hAnsi="Calibri"/>
          <w:sz w:val="20"/>
        </w:rPr>
        <w:t>Layanan verifikasi dokumen oleh masyarakat dan dunia industri dapat diakses secara instan (&lt; 1 ms latensi kueri) dan bebas biaya (0 gas) melalui antarmuka JSON-RPC eth_call, dengan ukuran bukti pembuktian logaritmik O(log N)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spacing w:before="160" w:after="40"/>
      </w:pPr>
      <w:r>
        <w:rPr>
          <w:rFonts w:ascii="Calibri" w:hAnsi="Calibri"/>
          <w:b/>
          <w:color w:val="1B365D"/>
          <w:sz w:val="24"/>
        </w:rPr>
        <w:t>Daftar Pustaka</w:t>
      </w:r>
    </w:p>
    <w:p>
      <w:pPr>
        <w:spacing w:before="40" w:after="60" w:line="276" w:lineRule="auto"/>
        <w:ind w:left="360" w:hanging="360"/>
        <w:jc w:val="both"/>
      </w:pPr>
      <w:r>
        <w:t>[1] W3C, "Verifiable Credentials Data Model v2.0," W3C Proposed Recommendation, Sep. 2024. [Daring]. Tersedia: https://www.w3.org/TR/vc-data-model-2.0/ (Bagian 4.10 "Status").</w:t>
      </w:r>
    </w:p>
    <w:p>
      <w:pPr>
        <w:spacing w:before="40" w:after="60" w:line="276" w:lineRule="auto"/>
        <w:ind w:left="360" w:hanging="360"/>
        <w:jc w:val="both"/>
      </w:pPr>
      <w:r>
        <w:t>[2] Ethereum Foundation, "Ethereum Developer Documentation: JSON-RPC API (eth_call Method)," 2024. [Daring]. Tersedia: https://ethereum.org/en/developers/docs/apis/json-rpc/#eth_call.</w:t>
      </w:r>
    </w:p>
    <w:p>
      <w:pPr>
        <w:spacing w:before="40" w:after="60" w:line="276" w:lineRule="auto"/>
        <w:ind w:left="360" w:hanging="360"/>
        <w:jc w:val="both"/>
      </w:pPr>
      <w:r>
        <w:t>[3] OpenZeppelin, "OpenZeppelin Contracts v5.x Documentation: AccessControl and Pausable Architecture," 2024. [Daring]. Tersedia: https://docs.openzeppelin.com/contracts/5.x/.</w:t>
      </w:r>
    </w:p>
    <w:p>
      <w:pPr>
        <w:spacing w:before="40" w:after="60" w:line="276" w:lineRule="auto"/>
        <w:ind w:left="360" w:hanging="360"/>
        <w:jc w:val="both"/>
      </w:pPr>
      <w:r>
        <w:t>[4] R. C. Merkle, "A Certified Digital Signature," dalam Advances in Cryptology - CRYPTO '89 Proceedings, LNCS 435, Springer-Verlag, 1989.</w:t>
      </w:r>
    </w:p>
    <w:p>
      <w:pPr>
        <w:spacing w:before="40" w:after="60" w:line="276" w:lineRule="auto"/>
        <w:ind w:left="360" w:hanging="360"/>
        <w:jc w:val="both"/>
      </w:pPr>
      <w:r>
        <w:t>[5] J. H. Saltzer dan M. D. Schroeder, "The Protection of Information in Computer Systems," Proceedings of the IEEE, vol. 63, no. 9, 1975.</w:t>
      </w:r>
    </w:p>
    <w:p>
      <w:pPr>
        <w:spacing w:before="40" w:after="60" w:line="276" w:lineRule="auto"/>
        <w:ind w:left="360" w:hanging="360"/>
        <w:jc w:val="both"/>
      </w:pPr>
      <w:r>
        <w:t>[6] G. Bertoni, J. Daemen, M. Peeters, dan G. Van Assche, "The Keccak reference," 2011.</w:t>
      </w:r>
    </w:p>
    <w:p>
      <w:pPr>
        <w:spacing w:before="40" w:after="60" w:line="276" w:lineRule="auto"/>
        <w:ind w:left="360" w:hanging="360"/>
        <w:jc w:val="both"/>
      </w:pPr>
      <w:r>
        <w:t>[7] J. Nielsen, Usability Engineering, Academic Press, 1993.</w:t>
      </w:r>
    </w:p>
    <w:p>
      <w:pPr>
        <w:spacing w:before="40" w:after="60" w:line="276" w:lineRule="auto"/>
        <w:ind w:left="360" w:hanging="360"/>
        <w:jc w:val="both"/>
      </w:pPr>
      <w:r>
        <w:t>[8] W3C, "Bitstring Status List v1.0," W3C Candidate Recommendation, 2024. [Daring]. Tersedia: https://www.w3.org/TR/vc-bitstring-status-list/.</w:t>
      </w:r>
    </w:p>
    <w:p>
      <w:pPr>
        <w:spacing w:before="40" w:after="60" w:line="276" w:lineRule="auto"/>
        <w:ind w:left="360" w:hanging="360"/>
        <w:jc w:val="both"/>
      </w:pPr>
      <w:r>
        <w:t>[9] A. Rundgren, B. Jordan, dan S. Erdtman, "JSON Canonicalization Scheme (JCS)," RFC 8785, Internet Engineering Task Force (IETF), Jun. 2020. [Daring]. Tersedia: https://www.rfc-editor.org/rfc/rfc8785.</w:t>
      </w:r>
    </w:p>
    <w:p>
      <w:pPr>
        <w:spacing w:before="40" w:after="60" w:line="276" w:lineRule="auto"/>
        <w:ind w:left="360" w:hanging="360"/>
        <w:jc w:val="both"/>
      </w:pPr>
      <w:r>
        <w:t>[10] Republik Indonesia, Undang-Undang Republik Indonesia Nomor 27 Tahun 2022 tentang Perlindungan Data Pribadi (UU PDP), Lembaran Negara Republik Indonesia Tahun 2022 Nomor 196, Tambahan Lembaran Negara Nomor 6820, Jakarta, 2022.</w:t>
      </w:r>
    </w:p>
    <w:p>
      <w:pPr>
        <w:spacing w:before="40" w:after="60" w:line="276" w:lineRule="auto"/>
        <w:ind w:left="360" w:hanging="360"/>
        <w:jc w:val="both"/>
      </w:pPr>
      <w:r>
        <w:t>[11] Ethereum Improvement Proposals, "EIP-2028: Transaction Data Gas Cost Reduction," 2019. [Daring]. Tersedia: https://eips.ethereum.org/EIPS/eip-2028.</w:t>
      </w:r>
    </w:p>
    <w:p>
      <w:pPr>
        <w:pStyle w:val="Heading1"/>
        <w:keepNext/>
        <w:pageBreakBefore/>
        <w:spacing w:before="160" w:after="80"/>
      </w:pPr>
      <w:r>
        <w:rPr>
          <w:rFonts w:ascii="Calibri" w:hAnsi="Calibri"/>
          <w:b/>
          <w:color w:val="1B365D"/>
          <w:sz w:val="24"/>
        </w:rPr>
        <w:t>Lampiran A: Pernyataan Orisinalitas</w:t>
      </w:r>
    </w:p>
    <w:p>
      <w:pPr>
        <w:keepNext/>
        <w:spacing w:before="80" w:after="200" w:line="276" w:lineRule="auto"/>
        <w:jc w:val="both"/>
      </w:pPr>
      <w:r/>
      <w:r>
        <w:rPr>
          <w:rFonts w:ascii="Calibri" w:hAnsi="Calibri"/>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cantSplit/>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pStyle w:val="Heading1"/>
        <w:keepNext/>
        <w:spacing w:before="240" w:after="80"/>
      </w:pPr>
      <w:r>
        <w:rPr>
          <w:rFonts w:ascii="Calibri" w:hAnsi="Calibri"/>
          <w:b/>
          <w:color w:val="1B365D"/>
          <w:sz w:val="24"/>
        </w:rPr>
        <w:t>Lampiran B: Pengungkapan Penggunaan Alat Bantu AI Transparan</w:t>
      </w:r>
    </w:p>
    <w:p>
      <w:pPr>
        <w:spacing w:before="20" w:after="50" w:line="269" w:lineRule="auto"/>
        <w:jc w:val="both"/>
      </w:pPr>
      <w:r>
        <w:rPr>
          <w:rFonts w:ascii="Calibri" w:hAnsi="Calibri"/>
          <w:sz w:val="20"/>
        </w:rPr>
        <w:t>Sesuai panduan etika akademik perguruan tinggi dan ketentuan naskah ujian OBE, penggunaan asisten kecerdasan artifisial (AI) dalam penyusunan tugas ini diungkapkan secara transparan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Claude (Anthropic): </w:t>
      </w:r>
      <w:r>
        <w:rPr>
          <w:rFonts w:ascii="Calibri" w:hAnsi="Calibri"/>
          <w:sz w:val="20"/>
        </w:rPr>
        <w:t>Digunakan pada Fase Eksplorasi &amp; Desain Arsitektur (Fase 1) untuk melakukan brainstorming perbandingan arsitektur konsorsium versus public blockchain, serta perumusan awal model ancaman STRIDE.</w:t>
      </w:r>
    </w:p>
    <w:p>
      <w:pPr>
        <w:spacing w:before="10" w:after="30" w:line="269" w:lineRule="auto"/>
        <w:ind w:left="288"/>
        <w:jc w:val="both"/>
      </w:pPr>
      <w:r>
        <w:rPr>
          <w:rFonts w:ascii="Calibri" w:hAnsi="Calibri"/>
          <w:b/>
          <w:sz w:val="20"/>
        </w:rPr>
        <w:t xml:space="preserve">• </w:t>
      </w:r>
      <w:r>
        <w:rPr>
          <w:rFonts w:ascii="Calibri" w:hAnsi="Calibri"/>
          <w:b/>
          <w:sz w:val="20"/>
        </w:rPr>
        <w:t xml:space="preserve">2. Google Antigravity Agent: </w:t>
      </w:r>
      <w:r>
        <w:rPr>
          <w:rFonts w:ascii="Calibri" w:hAnsi="Calibri"/>
          <w:sz w:val="20"/>
        </w:rPr>
        <w:t>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10" w:after="30" w:line="269" w:lineRule="auto"/>
        <w:ind w:left="288"/>
        <w:jc w:val="both"/>
      </w:pPr>
      <w:r>
        <w:rPr>
          <w:rFonts w:ascii="Calibri" w:hAnsi="Calibri"/>
          <w:b/>
          <w:sz w:val="20"/>
        </w:rPr>
        <w:t xml:space="preserve">• </w:t>
      </w:r>
      <w:r>
        <w:rPr>
          <w:rFonts w:ascii="Calibri" w:hAnsi="Calibri"/>
          <w:b/>
          <w:sz w:val="20"/>
        </w:rPr>
        <w:t xml:space="preserve">3. Tanggung Jawab Penulis: </w:t>
      </w:r>
      <w:r>
        <w:rPr>
          <w:rFonts w:ascii="Calibri" w:hAnsi="Calibri"/>
          <w:sz w:val="20"/>
        </w:rPr>
        <w:t>Seluruh logika smart contract, angka konsumsi gas, hasil verifikasi tamper-evident, serta analisis kritis pada dokumen ini telah divalidasi, dieksekusi secara nyata di lingkungan komputasi lokal, dan diverifikasi kebenarannya oleh penulis.</w:t>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