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8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16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160" w:after="40"/>
      </w:pPr>
      <w:r>
        <w:rPr>
          <w:rFonts w:ascii="Calibri" w:hAnsi="Calibri"/>
          <w:b/>
          <w:color w:val="1B365D"/>
          <w:sz w:val="24"/>
        </w:rPr>
        <w:t>Ringkasan Kegiatan</w:t>
      </w:r>
    </w:p>
    <w:p>
      <w:pPr>
        <w:spacing w:before="20" w:after="8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UU PDP) [10], melainkan hanya Merkle Root per batch kelulusan yang dijangkarkan secara on-chain.</w:t>
      </w:r>
    </w:p>
    <w:p>
      <w:pPr>
        <w:spacing w:before="20" w:after="12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160" w:after="40"/>
      </w:pPr>
      <w:r>
        <w:rPr>
          <w:rFonts w:ascii="Calibri" w:hAnsi="Calibri"/>
          <w:b/>
          <w:color w:val="1B365D"/>
          <w:sz w:val="24"/>
        </w:rPr>
        <w:t>1 Pendahuluan</w:t>
      </w:r>
    </w:p>
    <w:p>
      <w:pPr>
        <w:pStyle w:val="Heading2"/>
        <w:keepNext/>
        <w:spacing w:before="12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12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160" w:after="40"/>
      </w:pPr>
      <w:r>
        <w:rPr>
          <w:rFonts w:ascii="Calibri" w:hAnsi="Calibri"/>
          <w:b/>
          <w:color w:val="1B365D"/>
          <w:sz w:val="24"/>
        </w:rPr>
        <w:t>2 Data, Alat, dan Reproduksibilitas</w:t>
      </w:r>
    </w:p>
    <w:p>
      <w:pPr>
        <w:spacing w:before="20" w:after="50" w:line="269" w:lineRule="auto"/>
        <w:jc w:val="both"/>
      </w:pPr>
      <w:r>
        <w:rPr>
          <w:rFonts w:ascii="Calibri" w:hAnsi="Calibri"/>
          <w:sz w:val="20"/>
        </w:rP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160" w:after="40"/>
      </w:pPr>
      <w:r>
        <w:rPr>
          <w:rFonts w:ascii="Calibri" w:hAnsi="Calibri"/>
          <w:b/>
          <w:color w:val="1B365D"/>
          <w:sz w:val="24"/>
        </w:rPr>
        <w:t>3 Catatan Pelaksanaan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cantSplit/>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Kontrak aktif di alamat 0x5FbDB2315678afecb367f032d93F642f64180aa3, Tx: 0x145b5523..., Gas: 1.039.368 unit [B-01]. (Eksekusi: 4 Oktober 2026, 19:16:58 WIB, results/demo-output.txt).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6 Daun bergaram terhitung, Merkle Root: 0x46ca2e8399d6be8a489c375dcd355319d7eaa4a92a132afdc3a00220c1faccd3 [B-02], Tabel 5, Diagram 3. (Eksekusi: 4 Oktober 2026, 19:16:58 WIB, results/demo-output.txt).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Root terdaftar Block #2 tx 0x1737c359... [B-03]; verifikasi valid 0 gas [B-04]; manipulasi ditolak [B-05A]; peretas dicegat [B-05B] (kutipan log mentah lengkap dicantumkan pada Lampiran B); pencabutan [B-06]; pause [B-07]. 8 dari 8 test lulus (T-01 s.d. T-08). Log: results/demo-output.txt dan results/test-output.txt (4 Oktober 2026).</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Gas eksekusi murni issueBatch konstan 164.911 gas (O(1)), bukti selisih calldata deterministik tepat 84 gas, model anggaran verifikasi linier [B-08], Tabel 9, Tabel 11, Tabel 13. Log: results/perf-output.txt (Eksekusi: 4 Oktober 2026, 19:17:06 WIB).</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10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160" w:after="40"/>
      </w:pPr>
      <w:r>
        <w:rPr>
          <w:rFonts w:ascii="Calibri" w:hAnsi="Calibri"/>
          <w:b/>
          <w:color w:val="1B365D"/>
          <w:sz w:val="24"/>
        </w:rPr>
        <w:t>4 Bagian Khusus UTS: Perancangan Sistem Verifikasi Kredensial Akademik</w:t>
      </w:r>
    </w:p>
    <w:p>
      <w:pPr>
        <w:pStyle w:val="Heading2"/>
        <w:keepNext/>
        <w:spacing w:before="120" w:after="40"/>
      </w:pPr>
      <w:r>
        <w:rPr>
          <w:rFonts w:ascii="Calibri" w:hAnsi="Calibri"/>
          <w:b/>
          <w:color w:val="2C3E50"/>
          <w:sz w:val="21"/>
        </w:rPr>
        <w:t>4.1 Analisis Kelayakan, Pemangku Kepentingan, dan Arsitektur Jaringan (P1, P2 / Case 1)</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rPr>
          <w:rFonts w:ascii="Calibri" w:hAnsi="Calibri"/>
          <w:b/>
          <w:sz w:val="20"/>
        </w:rPr>
        <w:t xml:space="preserve">Permasalahan &amp; Trust: </w:t>
      </w:r>
      <w:r>
        <w:rPr>
          <w:rFonts w:ascii="Calibri" w:hAnsi="Calibri"/>
          <w:sz w:val="20"/>
        </w:rPr>
        <w:t>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80" w:line="269" w:lineRule="auto"/>
        <w:jc w:val="center"/>
      </w:pPr>
      <w:r>
        <w:rPr>
          <w:rFonts w:ascii="Calibri" w:hAnsi="Calibri"/>
          <w:i/>
          <w:color w:val="555555"/>
          <w:sz w:val="17"/>
        </w:rPr>
        <w:t>Diagram 1: Arsitektur Sistem Kredensial Akademik Konsorsium Berbasis Zero-PII dan Merkle Tree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rPr>
                <w:rFonts w:ascii="Calibri" w:hAnsi="Calibri"/>
                <w:sz w:val="14"/>
              </w:rPr>
              <w:t>Kepatuhan terhadap Pasal 8 dan Pasal 43 UU PDP [10] (Right to Erasure); mencegah doxxing dan kebocoran identitas publik.</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120" w:after="40"/>
      </w:pPr>
      <w:r>
        <w:rPr>
          <w:rFonts w:ascii="Calibri" w:hAnsi="Calibri"/>
          <w:b/>
          <w:color w:val="2C3E50"/>
          <w:sz w:val="21"/>
        </w:rPr>
        <w:t>4.2 Kriptografi, W3C Verifiable Credentials, dan Integritas Daun Bergaram (P3 / Case 2)</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rPr>
          <w:rFonts w:ascii="Calibri" w:hAnsi="Calibri"/>
          <w:sz w:val="19"/>
        </w:rPr>
        <w:t>Standar W3C VC &amp; Kepatuhan Hak Hapus: Kanonikalisasi JSON yang mengacu pada RFC 8785 [9] menjamin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Dengan desain ini, kepatuhan mutlak terhadap hak penghapusan data pribadi pada Pasal 8 serta kewajiban penghapusan pada Pasal 43 dan Pasal 44 UU No. 27 Tahun 2022 tentang Pelindungan Data Pribadi (UU PDP) [10] terpenuhi: jika alumni mengajukan hak penghapusan data, universitas dan alumni cukup memusnahkan dokumen lokal dan nilai salt, sehingga daun hash pada blockchain menjadi artefak komputasi acak semu yang mustahil direkonstruksi kembali (cryptographic erasure).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8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120" w:after="40"/>
      </w:pPr>
      <w:r>
        <w:rPr>
          <w:rFonts w:ascii="Calibri" w:hAnsi="Calibri"/>
          <w:b/>
          <w:color w:val="2C3E50"/>
          <w:sz w:val="21"/>
        </w:rPr>
        <w:t>4.3 Jaringan P2P, Siklus Transaksi, dan Mekanisme Konsensus (P2, P3 / Case 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4754880" cy="4321558"/>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8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rPr>
          <w:rFonts w:ascii="Calibri" w:hAnsi="Calibri"/>
          <w:b/>
          <w:sz w:val="20"/>
        </w:rPr>
        <w:t xml:space="preserve">Analisis Fork &amp; Pemilihan Konsensus: </w:t>
      </w:r>
      <w:r>
        <w:rPr>
          <w:rFonts w:ascii="Calibri" w:hAnsi="Calibri"/>
          <w:sz w:val="20"/>
        </w:rPr>
        <w:t>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120" w:after="40"/>
      </w:pPr>
      <w:r>
        <w:rPr>
          <w:rFonts w:ascii="Calibri" w:hAnsi="Calibri"/>
          <w:b/>
          <w:color w:val="2C3E50"/>
          <w:sz w:val="21"/>
        </w:rPr>
        <w:t>4.4 Evaluasi Model UTXO Bitcoin vs Account-Based State Registry (Case 4)</w:t>
      </w:r>
    </w:p>
    <w:p>
      <w:pPr>
        <w:spacing w:before="20" w:after="50" w:line="269" w:lineRule="auto"/>
        <w:jc w:val="both"/>
      </w:pPr>
      <w:r>
        <w:rPr>
          <w:rFonts w:ascii="Calibri" w:hAnsi="Calibri"/>
          <w:b/>
          <w:sz w:val="20"/>
        </w:rPr>
        <w:t xml:space="preserve">Analisis Model UTXO: </w:t>
      </w:r>
      <w:r>
        <w:rPr>
          <w:rFonts w:ascii="Calibri" w:hAnsi="Calibri"/>
          <w:sz w:val="20"/>
        </w:rPr>
        <w:t>Model transaksi Unspent Transaction Output (UTXO) pada arsitektur Bitcoin beroperasi atas dasar perpindahan kepemilikan nilai diskrit (Input -&gt; Transaksi -&gt; Output + Change). Pencegahan double spending pada UTXO dijamin oleh aturan bahwa suatu koin output hanya dapat dikonsumsi tepat satu kali sebagai input transaksi baru. Meskipun sangat kuat untuk transfer mata uang kripto, model UTXO memiliki keterbatasan struktural apabila diterapkan pada sistem registri status kredensial akademik publik.</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Tx ID dan Status</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Input / UTXO Dipakai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Output dan Change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Fee dan Mekanisme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Bukti &amp; Evaluasi Keterbatasan</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Simulasi Tx UTXO (OP_RETURN Anchor)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1 UTXO Kampus (0.005 BTC)</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Output 1: OP_RETURN Merkle Root (0 BTC); Output 2: Change Address (0.0048 BTC)</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penambang: 0.0002 BTC (~$12)</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[Kasus 4] Tidak efisien: Biaya konstan per batch, data OP_RETURN dibatasi 80 byte, tidak mendukung smart logic.</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State Model EVM (issueBatch On-Chain)</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Account EOA Issuer (Nonce N, Gas balance)</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State Mutation: Contract Storage Slot Updated (Root tersimpan), Event Emitted</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Gas konsorsium internal (164.911 gas murni)</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[B-03] Sangat Unggul: Mendukung pembaruan status revocable kredensial O(1) via mapping boolean/bitstring.</w:t>
            </w:r>
          </w:p>
        </w:tc>
      </w:tr>
    </w:tbl>
    <w:p>
      <w:pPr>
        <w:spacing w:before="20" w:after="50" w:line="269" w:lineRule="auto"/>
        <w:jc w:val="both"/>
      </w:pPr>
      <w:r>
        <w:rPr>
          <w:rFonts w:ascii="Calibri" w:hAnsi="Calibri"/>
          <w:b/>
          <w:sz w:val="20"/>
        </w:rPr>
        <w:t xml:space="preserve">Komparasi Model Akun vs UTXO: </w:t>
      </w:r>
      <w:r>
        <w:rPr>
          <w:rFonts w:ascii="Calibri" w:hAnsi="Calibri"/>
          <w:sz w:val="20"/>
        </w:rPr>
        <w:t>Kelemahan fatal model UTXO untuk kasus ijazah adalah ketiadaan status penyimpanan global dinamis (stateful storage). Untuk membatalkan sebuah ijazah pada UTXO, kampus harus membuat rantai transaksi pembelanjaan baru yang kompleks. Sebaliknya, model berbasis akun (Account Model EVM) menyediakan mesin status terprogram (stateful Turing-complete virtual machine) yang memungkinkan penyimpanan status pencabutan ijazah individual secara langsung dalam slot mapping storage (_revokedCredentials[leafHash]) dengan kompleksitas akses O(1) dan biaya komputasi yang deterministik.</w:t>
      </w:r>
    </w:p>
    <w:p>
      <w:pPr>
        <w:pStyle w:val="Heading2"/>
        <w:keepNext/>
        <w:spacing w:before="120" w:after="40"/>
      </w:pPr>
      <w:r>
        <w:rPr>
          <w:rFonts w:ascii="Calibri" w:hAnsi="Calibri"/>
          <w:b/>
          <w:color w:val="2C3E50"/>
          <w:sz w:val="21"/>
        </w:rPr>
        <w:t>4.5 Model Akun EVM, Analisis Ketat Komponen Gas, dan Model Regresi (P3, P5 / Case 5)</w:t>
      </w:r>
    </w:p>
    <w:p>
      <w:pPr>
        <w:spacing w:before="20" w:after="50" w:line="269" w:lineRule="auto"/>
        <w:jc w:val="both"/>
      </w:pPr>
      <w:r>
        <w:rPr>
          <w:rFonts w:ascii="Calibri" w:hAnsi="Calibri"/>
          <w:sz w:val="20"/>
        </w:rPr>
        <w:t>EVM mengkategorikan akun ke dalam dua entitas: Externally Owned Account (EOA) yang dikendalikan oleh pasangan kunci privat/publik kurva secp256k1, dan Contract Account yang dikendalikan oleh kode bytecode tersimpan. Komposisi field transaksi transaksi issueBatch dan kueri verifikasi dirangkum dalam Tabel 7.</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 Gas Used / Status</w:t>
            </w:r>
          </w:p>
        </w:tc>
        <w:tc>
          <w:tcPr>
            <w:tcW w:type="dxa" w:w="6480"/>
            <w:shd w:fill="F8F9F9"/>
            <w:tcMar>
              <w:top w:w="50" w:type="dxa"/>
              <w:bottom w:w="50" w:type="dxa"/>
              <w:left w:w="80" w:type="dxa"/>
              <w:right w:w="80" w:type="dxa"/>
            </w:tcMar>
            <w:vAlign w:val="center"/>
          </w:tcPr>
          <w:p>
            <w:pPr>
              <w:spacing w:before="0" w:after="0" w:line="240" w:lineRule="auto"/>
            </w:pPr>
            <w:r/>
            <w:r>
              <w:rPr>
                <w:rFonts w:ascii="Calibri" w:hAnsi="Calibri"/>
                <w:sz w:val="15"/>
              </w:rPr>
              <w:t>Gas Limit: 30.000.000; Gas Used: 211.084 gas (penjangkaran batch); Status: 1 (Success)</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Event Logs &amp; Transaction Hash</w:t>
            </w:r>
          </w:p>
        </w:tc>
        <w:tc>
          <w:tcPr>
            <w:tcW w:type="dxa" w:w="6480"/>
            <w:tcMar>
              <w:top w:w="50" w:type="dxa"/>
              <w:bottom w:w="50" w:type="dxa"/>
              <w:left w:w="80" w:type="dxa"/>
              <w:right w:w="80" w:type="dxa"/>
            </w:tcMar>
            <w:vAlign w:val="center"/>
          </w:tcPr>
          <w:p>
            <w:pPr>
              <w:spacing w:before="0" w:after="0" w:line="240" w:lineRule="auto"/>
            </w:pPr>
            <w:r/>
            <w:r>
              <w:rPr>
                <w:rFonts w:ascii="Calibri" w:hAnsi="Calibri"/>
                <w:sz w:val="15"/>
              </w:rPr>
              <w:t>Event: BatchIssued(WISUDA-2026-PERIODE-1, 0x46ca2e83..., timestamp); Tx Hash: 0x1737c3595a7ffab660d99cb81bd14dc04b8c21f9fb399ad5b2aa454998a88321; Block: #2 [B-03]</w:t>
            </w:r>
          </w:p>
        </w:tc>
      </w:tr>
    </w:tbl>
    <w:p>
      <w:pPr>
        <w:spacing w:before="20" w:after="50" w:line="276" w:lineRule="auto"/>
        <w:jc w:val="both"/>
      </w:pPr>
      <w:r>
        <w:rPr>
          <w:rFonts w:ascii="Calibri" w:hAnsi="Calibri"/>
          <w:sz w:val="19"/>
        </w:rP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rPr>
          <w:rFonts w:ascii="Calibri" w:hAnsi="Calibri"/>
          <w:b/>
          <w:sz w:val="20"/>
        </w:rPr>
        <w:t xml:space="preserve">Pembuktian Sumber Selisih Calldata 84 Gas: </w:t>
      </w:r>
      <w:r>
        <w:rPr>
          <w:rFonts w:ascii="Calibri" w:hAnsi="Calibri"/>
          <w:sz w:val="20"/>
        </w:rPr>
        <w:t>Pengukuran empiris membuktikan bahwa selisih gas sebesar 84 gas antara batch N=6 dan N=1.000 sama sekali bukan berasal dari eksekusi smart contract, melainkan murni dari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Calibri" w:hAnsi="Calibri"/>
          <w:sz w:val="19"/>
        </w:rPr>
        <w:t>• 1. Intercept Model: Biaya Tetap (Intercept) ≈ 7.800 gas: Secara perkiraan analitis diestimasi berasal dari 2 kali pembacaan state storage via SLOAD (pemeriksaan batch dan status pembatalan ~4.200 gas), pemanggilan eksternal, dekoding calldata ke memori, dan pembungkusan return string. Batas kelayakan &lt;= 10.000 gas ditetapkan sebagai anggaran turunan dari pengukuran (bukan hipotesis awal), memberikan safety margin ~28% di atas hasil ukur.</w:t>
      </w:r>
    </w:p>
    <w:p>
      <w:pPr>
        <w:spacing w:before="10" w:after="30" w:line="276" w:lineRule="auto"/>
        <w:ind w:left="288"/>
        <w:jc w:val="both"/>
      </w:pPr>
      <w:r>
        <w:rPr>
          <w:rFonts w:ascii="Calibri" w:hAnsi="Calibri"/>
          <w:sz w:val="19"/>
        </w:rPr>
        <w:t>• 2. Slope Model: Kemiringan (Slope) ≈ 251,3 gas/sibling: Merefleksikan perkiraan analitis atas opcode loop MerkleProof.verify [3], [4] per iterasi: KECCAK256 [6] (64 byte input: 42 gas) + MLOAD/MSTORE (6 gas) + percabangan &amp; stack LT/JUMP/DUP/SWAP (~15 gas). Batas kelayakan &lt;= 350 gas/sibling merupakan anggaran turunan dari pengukuran (bukan hipotesis awal), memberikan safety margin ~39% di atas hasil ukur.</w:t>
      </w:r>
    </w:p>
    <w:p>
      <w:pPr>
        <w:spacing w:before="10" w:after="30" w:line="269" w:lineRule="auto"/>
        <w:ind w:left="288"/>
        <w:jc w:val="both"/>
      </w:pPr>
      <w:r>
        <w:rPr>
          <w:rFonts w:ascii="Calibri" w:hAnsi="Calibri"/>
          <w:sz w:val="19"/>
        </w:rPr>
        <w:t>• 3. Kriteria Evaluasi: Batas Kelayakan Performa: pureVerifyGas(k) &lt;= 10.000 + (k * 350) gas merupakan batas anggaran turunan dari pengukuran (bukan hipotesis awal). Untuk N=1.000 (k=10), batas anggarannya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120" w:after="40"/>
      </w:pPr>
      <w:r>
        <w:rPr>
          <w:rFonts w:ascii="Calibri" w:hAnsi="Calibri"/>
          <w:b/>
          <w:color w:val="2C3E50"/>
          <w:sz w:val="21"/>
        </w:rPr>
        <w:t>4.6 Analisis Keamanan, Model Ancaman STRIDE, dan Respons Insiden 24 Jam (P4)</w:t>
      </w:r>
    </w:p>
    <w:p>
      <w:pPr>
        <w:spacing w:before="20" w:after="50" w:line="269" w:lineRule="auto"/>
        <w:jc w:val="both"/>
      </w:pPr>
      <w:r>
        <w:rPr>
          <w:rFonts w:ascii="Calibri" w:hAnsi="Calibri"/>
          <w:sz w:val="20"/>
        </w:rP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Matriks Ancaman STRIDE.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120" w:after="40"/>
      </w:pPr>
      <w:r>
        <w:rPr>
          <w:rFonts w:ascii="Calibri" w:hAnsi="Calibri"/>
          <w:b/>
          <w:color w:val="2C3E50"/>
          <w:sz w:val="21"/>
        </w:rPr>
        <w:t>4.7 Implementasi Prototipe, Kriteria Penerimaan, dan Pengujian Performa (P5)</w:t>
      </w:r>
    </w:p>
    <w:p>
      <w:pPr>
        <w:spacing w:before="20" w:after="50" w:line="269" w:lineRule="auto"/>
        <w:jc w:val="both"/>
      </w:pPr>
      <w:r>
        <w:rPr>
          <w:rFonts w:ascii="Calibri" w:hAnsi="Calibri"/>
          <w:sz w:val="20"/>
        </w:rPr>
        <w:t>Kriteria penerimaan (acceptance criteria) disusun dengan merujuk pada standar ilmiah, spesifikasi formal, dan model kelayakan performa empiris, sebagaimana dirangkum dalam Tabel Kriteria Penerimaan.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cantSplit/>
        </w:trPr>
        <w:tc>
          <w:tcPr>
            <w:tcW w:type="dxa" w:w="1152"/>
            <w:shd w:fill="EAECEE"/>
            <w:tcMar>
              <w:top w:w="60" w:type="dxa"/>
              <w:bottom w:w="60" w:type="dxa"/>
              <w:left w:w="80" w:type="dxa"/>
              <w:right w:w="80" w:type="dxa"/>
            </w:tcMar>
            <w:vAlign w:val="center"/>
          </w:tcPr>
          <w:p>
            <w:pPr>
              <w:spacing w:line="252" w:lineRule="auto" w:after="10" w:before="0"/>
            </w:pPr>
            <w:r/>
            <w:r>
              <w:rPr>
                <w:rFonts w:ascii="Calibri" w:hAnsi="Calibri"/>
                <w:b/>
                <w:sz w:val="15"/>
              </w:rPr>
              <w:t>Kelompok Uji</w:t>
            </w:r>
          </w:p>
        </w:tc>
        <w:tc>
          <w:tcPr>
            <w:tcW w:type="dxa" w:w="1008"/>
            <w:shd w:fill="EAECEE"/>
            <w:tcMar>
              <w:top w:w="60" w:type="dxa"/>
              <w:bottom w:w="60" w:type="dxa"/>
              <w:left w:w="80" w:type="dxa"/>
              <w:right w:w="80" w:type="dxa"/>
            </w:tcMar>
            <w:vAlign w:val="center"/>
          </w:tcPr>
          <w:p>
            <w:pPr>
              <w:spacing w:line="252" w:lineRule="auto" w:after="10" w:before="0"/>
            </w:pPr>
            <w:r/>
            <w:r>
              <w:rPr>
                <w:rFonts w:ascii="Calibri" w:hAnsi="Calibri"/>
                <w:b/>
                <w:sz w:val="15"/>
              </w:rPr>
              <w:t>ID Uji</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
              <w:rPr>
                <w:rFonts w:ascii="Calibri" w:hAnsi="Calibri"/>
                <w:b/>
                <w:sz w:val="15"/>
              </w:rPr>
              <w:t>Ambang Batas Teoretis</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
              <w:rPr>
                <w:rFonts w:ascii="Calibri" w:hAnsi="Calibri"/>
                <w:b/>
                <w:sz w:val="15"/>
              </w:rPr>
              <w:t>Hasil Pengujian Nyata</w:t>
            </w:r>
          </w:p>
        </w:tc>
        <w:tc>
          <w:tcPr>
            <w:tcW w:type="dxa" w:w="720"/>
            <w:shd w:fill="EAECEE"/>
            <w:tcMar>
              <w:top w:w="60" w:type="dxa"/>
              <w:bottom w:w="60" w:type="dxa"/>
              <w:left w:w="80" w:type="dxa"/>
              <w:right w:w="80" w:type="dxa"/>
            </w:tcMar>
            <w:vAlign w:val="center"/>
          </w:tcPr>
          <w:p>
            <w:pPr>
              <w:spacing w:line="252" w:lineRule="auto" w:after="10" w:before="0"/>
            </w:pPr>
            <w:r/>
            <w:r>
              <w:rPr>
                <w:rFonts w:ascii="Calibri" w:hAnsi="Calibri"/>
                <w:b/>
                <w:sz w:val="15"/>
              </w:rPr>
              <w:t>Status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Deviasi relatif gas eksekusi murni antar-skala &lt;= 1.0%; total gas &lt;= 1.0% Block Gas Limit (30M gas).</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bl>
    <w:p>
      <w:pPr>
        <w:spacing w:before="20" w:after="50" w:line="269" w:lineRule="auto"/>
        <w:jc w:val="both"/>
      </w:pPr>
      <w:r>
        <w:rPr>
          <w:rFonts w:ascii="Calibri" w:hAnsi="Calibri"/>
          <w:sz w:val="20"/>
        </w:rPr>
        <w:t>Seluruh rangkaian unit test otomatis (T-01 s.d. T-08) pada test/AcademicCredentialRegistry.test.js dieksekusi menggunakan Hardhat Test Runner dengan hasil kelulusan lengkap sebagaimana dirangkum pada Tabel 9.</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rPr>
          <w:rFonts w:ascii="Calibri" w:hAnsi="Calibri"/>
          <w:sz w:val="20"/>
        </w:rPr>
        <w:t>Hasil pengujian performa mendalam melalui 30 run terukur (+ 2 run warm-up) pada skrip scripts/perf-bench.js dirangkum pada Tabel B-08.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Karakteristik Skalabilitas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Linier O(N), tuntas sub-detik (&lt; 1 detik).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Logaritmik O(log N), presisi teoretis.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Selisih minor murni dari calldata EIP-2028.</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Konstan Eksak O(1) (Deviasi 0,0000%).</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Konstan O(1) (Pembaruan mapping storage).</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Simulasi EVM termasuk 21.000 gas transaksi.</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Calldata proof membesar secara logaritmik.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8.554 gas (SD: 8) [8.537 - 8.567]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
              <w:rPr>
                <w:rFonts w:ascii="Calibri" w:hAnsi="Calibri"/>
                <w:sz w:val="15"/>
              </w:rPr>
              <w:t>Model Linier: 7.800 + 251,3 * 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Kueri lokal JSON-RPC eth_call (read-only).</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0.89 ms (SD: 0.58) [0.48 - 3.24]</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0.87 ms (SD: 0.77) [0.38 - 3.72]</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Sangat cepat (&lt; 1 ms), responsif instan.</w:t>
            </w:r>
          </w:p>
        </w:tc>
      </w:tr>
    </w:tbl>
    <w:p>
      <w:pPr>
        <w:pStyle w:val="Heading2"/>
        <w:keepNext/>
        <w:spacing w:before="120" w:after="40"/>
      </w:pPr>
      <w:r>
        <w:rPr>
          <w:rFonts w:ascii="Calibri" w:hAnsi="Calibri"/>
          <w:b/>
          <w:color w:val="2C3E50"/>
          <w:sz w:val="21"/>
        </w:rPr>
        <w:t>4.8 Keputusan Desain, Batasan Teknis, Pertimbangan Etika, dan Refleksi (P6)</w:t>
      </w:r>
    </w:p>
    <w:p>
      <w:pPr>
        <w:spacing w:before="20" w:after="50" w:line="276" w:lineRule="auto"/>
        <w:jc w:val="both"/>
      </w:pPr>
      <w:r>
        <w:rPr>
          <w:rFonts w:ascii="Calibri" w:hAnsi="Calibri"/>
          <w:sz w:val="19"/>
        </w:rPr>
        <w:t>Keputusan Desain &amp; Trade-Off: Tiga keputusan arsitektural utama yang ditetapkan dalam proyek ini melibatkan pertimbangan trade-off yang matang: (1) Penjangkaran Merkle Batching vs Penyimpanan Daun Individual On-Chain: Menyimpan setiap ijazah secara individual pada blockchain memerlukan operasi SSTORE terpisah (~20.000 gas per ijazah), yang akan menghabiskan lebih dari 20 juta gas untuk 1.000 lulusan. Pendekatan Merkle batching mengompresi ribuan lulusan ke dalam 1 Merkle Root 32-byte [4] dengan gas konstan 164.911 gas (hemat &gt; 98%), dengan konsekuensi pemverifikasi harus menyertakan bukti jalur Merkle berukuran O(log N) [4]; (2) Arsitektur Zero-PII Off-Chain vs On-Chain Metadata: Melindungi privasi alumni sesuai Pasal 8 UU PDP [10], dengan konsekuensi kampus dan alumni bertanggung jawab menjaga ketersediaan file dokumen off-chain; (3) Konsorsium Permissioned vs Public Mainnet: Menghilangkan volatilitas gas fee dan risiko regulasi data terbuka, dengan komitmen pembentukan konsorsium legal antar-institusi.</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xml:space="preserve">• </w:t>
      </w:r>
      <w:r>
        <w:rPr>
          <w:rFonts w:ascii="Calibri" w:hAnsi="Calibri"/>
          <w:b/>
          <w:sz w:val="20"/>
        </w:rPr>
        <w:t xml:space="preserve">1. Lingkungan Node: </w:t>
      </w:r>
      <w:r>
        <w:rPr>
          <w:rFonts w:ascii="Calibri" w:hAnsi="Calibri"/>
          <w:sz w:val="20"/>
        </w:rPr>
        <w:t>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Data Uji: </w:t>
      </w:r>
      <w:r>
        <w:rPr>
          <w:rFonts w:ascii="Calibri" w:hAnsi="Calibri"/>
          <w:sz w:val="20"/>
        </w:rPr>
        <w:t>Data Sintetis Fiktif: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xml:space="preserve">• </w:t>
      </w:r>
      <w:r>
        <w:rPr>
          <w:rFonts w:ascii="Calibri" w:hAnsi="Calibri"/>
          <w:b/>
          <w:sz w:val="20"/>
        </w:rPr>
        <w:t xml:space="preserve">3. Perangkat Keras: </w:t>
      </w:r>
      <w:r>
        <w:rPr>
          <w:rFonts w:ascii="Calibri" w:hAnsi="Calibri"/>
          <w:sz w:val="20"/>
        </w:rPr>
        <w:t>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Simulasi Gas: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xml:space="preserve">• </w:t>
      </w:r>
      <w:r>
        <w:rPr>
          <w:rFonts w:ascii="Calibri" w:hAnsi="Calibri"/>
          <w:b/>
          <w:sz w:val="20"/>
        </w:rPr>
        <w:t xml:space="preserve">5. Slot Storage URI: </w:t>
      </w:r>
      <w:r>
        <w:rPr>
          <w:rFonts w:ascii="Calibri" w:hAnsi="Calibri"/>
          <w:sz w:val="20"/>
        </w:rPr>
        <w:t>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rPr>
          <w:rFonts w:ascii="Calibri" w:hAnsi="Calibri"/>
          <w:b/>
          <w:sz w:val="20"/>
        </w:rPr>
        <w:t xml:space="preserve">• </w:t>
      </w:r>
      <w:r>
        <w:rPr>
          <w:rFonts w:ascii="Calibri" w:hAnsi="Calibri"/>
          <w:b/>
          <w:sz w:val="20"/>
        </w:rPr>
        <w:t xml:space="preserve">6. Batas Gas Blok: </w:t>
      </w:r>
      <w:r>
        <w:rPr>
          <w:rFonts w:ascii="Calibri" w:hAnsi="Calibri"/>
          <w:sz w:val="20"/>
        </w:rPr>
        <w:t>Asumsi Block Gas Limit Konsorsium: Batas gas per blok sebesar 30 juta gas (30.000.000 unit) merupakan parameter konfigurasi tipikal jaringan privat/konsorsium EVM (misal genesis Hyperledger Besu), bukan angka absolut universal seluruh jaringan blockchain.</w:t>
      </w:r>
    </w:p>
    <w:p>
      <w:pPr>
        <w:spacing w:before="10" w:after="30" w:line="269" w:lineRule="auto"/>
        <w:ind w:left="288"/>
        <w:jc w:val="both"/>
      </w:pPr>
      <w:r>
        <w:rPr>
          <w:rFonts w:ascii="Calibri" w:hAnsi="Calibri"/>
          <w:b/>
          <w:sz w:val="20"/>
        </w:rPr>
        <w:t xml:space="preserve">• </w:t>
      </w:r>
      <w:r>
        <w:rPr>
          <w:rFonts w:ascii="Calibri" w:hAnsi="Calibri"/>
          <w:b/>
          <w:sz w:val="20"/>
        </w:rPr>
        <w:t xml:space="preserve">7. Pembulatan Calldata: </w:t>
      </w:r>
      <w:r>
        <w:rPr>
          <w:rFonts w:ascii="Calibri" w:hAnsi="Calibri"/>
          <w:sz w:val="20"/>
        </w:rPr>
        <w:t>Efek Pembulatan Rata-Rata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20" w:after="50" w:line="276" w:lineRule="auto"/>
        <w:jc w:val="both"/>
      </w:pPr>
      <w:r>
        <w:rPr>
          <w:rFonts w:ascii="Calibri" w:hAnsi="Calibri"/>
          <w:sz w:val="19"/>
        </w:rPr>
        <w:t>Pertimbangan Etika, Regulasi, &amp; Roadmap: Implementasi sistem ini menegakkan prinsip keadilan sosial dan non-diskriminasi. Biaya verifikasi yang ditetapkan 0 gas menjamin bahwa lulusan dari keluarga prasejahtera dan instansi UMKM/pemberi kerja lokal dapat memverifikasi keabsahan dokumen tanpa hambatan finansial [2]. Secara regulasi, sistem mematuhi Peraturan Menteri Pendidikan, Kebudayaan, Riset, dan Teknologi No. 6 Tahun 2022 tentang Ijazah, Sertifikat Kompetensi, dan Sertifikat Profesi Jenjang Pendidikan Tinggi, serta menjamin hak privasi alumni terlindungi sepenuhnya di bawah naungan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rPr>
          <w:rFonts w:ascii="Calibri" w:hAnsi="Calibri"/>
          <w:sz w:val="19"/>
        </w:rP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sepenuhnya berasal dari biaya intrinsik calldata EIP-2028 [11] memperkuat pemahaman penulis mengenai arsitektur internal Ethereum Virtual Machine secara mendalam dan berbasis bukti nyata.</w:t>
      </w:r>
    </w:p>
    <w:p>
      <w:pPr>
        <w:pStyle w:val="Heading1"/>
        <w:keepNext/>
        <w:spacing w:before="160" w:after="40"/>
      </w:pPr>
      <w:r>
        <w:rPr>
          <w:rFonts w:ascii="Calibri" w:hAnsi="Calibri"/>
          <w:b/>
          <w:color w:val="1B365D"/>
          <w:sz w:val="24"/>
        </w:rPr>
        <w:t>5 Kesimpulan dan Saran</w:t>
      </w:r>
    </w:p>
    <w:p>
      <w:pPr>
        <w:pStyle w:val="Heading2"/>
        <w:keepNext/>
        <w:spacing w:before="12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Kelayakan Arsitektur: </w:t>
      </w:r>
      <w:r>
        <w:rPr>
          <w:rFonts w:ascii="Calibri" w:hAnsi="Calibri"/>
          <w:sz w:val="20"/>
        </w:rPr>
        <w:t>Sistem verifikasi kredensial akademik berbasis blockchain konsorsium permissioned (Hyperledger Besu / EVM) dan pohon Merkle terbukti layak (feasible), aman, dan sangat terukur untuk menyelesaikan masalah pemalsuan dokumen dan ketergantungan server terpusat.</w:t>
      </w:r>
    </w:p>
    <w:p>
      <w:pPr>
        <w:spacing w:before="10" w:after="30" w:line="276" w:lineRule="auto"/>
        <w:ind w:left="288"/>
        <w:jc w:val="both"/>
      </w:pPr>
      <w:r>
        <w:rPr>
          <w:rFonts w:ascii="Calibri" w:hAnsi="Calibri"/>
          <w:sz w:val="19"/>
        </w:rPr>
        <w:t>• 2. Perlindungan Privasi: Arsitektur Zero-PII On-Chain yang memisahkan dokumen lengkap off-chain bergaram (256-bit salt) dari Merkle root on-chain [4] berhasil menjamin kepatuhan penuh terhadap hak penghapusan data pribadi (Right to Erasure, Pasal 8 dan Pasal 43 UU PDP No. 27/2022) [10] sekaligus mengeliminasi ancaman serangan kamus terhadap atribut bernilai rendah.</w:t>
      </w:r>
    </w:p>
    <w:p>
      <w:pPr>
        <w:spacing w:before="10" w:after="30" w:line="276" w:lineRule="auto"/>
        <w:ind w:left="288"/>
        <w:jc w:val="both"/>
      </w:pPr>
      <w:r>
        <w:rPr>
          <w:rFonts w:ascii="Calibri" w:hAnsi="Calibri"/>
          <w:sz w:val="19"/>
        </w:rPr>
        <w:t>• 3. Skalabilitas O(1): 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rPr>
          <w:rFonts w:ascii="Calibri" w:hAnsi="Calibri"/>
          <w:b/>
          <w:sz w:val="20"/>
        </w:rPr>
        <w:t xml:space="preserve">• </w:t>
      </w:r>
      <w:r>
        <w:rPr>
          <w:rFonts w:ascii="Calibri" w:hAnsi="Calibri"/>
          <w:b/>
          <w:sz w:val="20"/>
        </w:rPr>
        <w:t xml:space="preserve">5. Keamanan &amp; Mitigasi: </w:t>
      </w:r>
      <w:r>
        <w:rPr>
          <w:rFonts w:ascii="Calibri" w:hAnsi="Calibri"/>
          <w:sz w:val="20"/>
        </w:rPr>
        <w:t>Keamanan sistem terbukti tangguh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12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120"/>
      </w:pPr>
      <w:r>
        <w:rPr>
          <w:rFonts w:ascii="Calibri" w:hAnsi="Calibri"/>
          <w:b/>
          <w:color w:val="1B365D"/>
          <w:sz w:val="24"/>
        </w:rPr>
        <w:t>Daftar Pustaka</w:t>
      </w:r>
    </w:p>
    <w:p>
      <w:pPr>
        <w:spacing w:before="0" w:after="7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7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7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7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7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7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7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7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7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70" w:line="252" w:lineRule="auto"/>
        <w:ind w:left="360" w:hanging="360"/>
        <w:jc w:val="both"/>
      </w:pPr>
      <w:r>
        <w:rPr>
          <w:rFonts w:ascii="Calibri" w:hAnsi="Calibri"/>
          <w:sz w:val="17"/>
        </w:rP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4 Oktober 2026].</w:t>
      </w:r>
    </w:p>
    <w:p>
      <w:pPr>
        <w:spacing w:before="0" w:after="70" w:line="252" w:lineRule="auto"/>
        <w:ind w:left="360" w:hanging="360"/>
        <w:jc w:val="both"/>
      </w:pPr>
      <w:r>
        <w:rPr>
          <w:rFonts w:ascii="Calibri" w:hAnsi="Calibri"/>
          <w:sz w:val="17"/>
        </w:rPr>
        <w:t>[11] A. Akhunov, E. B. Sasson, T. Brand, L. Guthmann, dan A. Levy, "EIP-2028: Transaction data gas cost reduction," Ethereum Improvement Proposals, Mei 2019. [Daring]. Tersedia: https://eips.ethereum.org/EIPS/eip-2028. [Diakses: 4 Oktober 2026].</w:t>
      </w:r>
    </w:p>
    <w:p>
      <w:pPr>
        <w:spacing w:before="0" w:after="7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280" w:after="80" w:line="276" w:lineRule="auto"/>
      </w:pPr>
      <w:r>
        <w:rPr>
          <w:rFonts w:ascii="Times New Roman" w:hAnsi="Times New Roman"/>
          <w:b/>
          <w:i w:val="0"/>
          <w:color w:val="000000"/>
          <w:sz w:val="24"/>
        </w:rPr>
        <w:t>Lampiran A: Pengungkapan Penggunaan Alat Bantu AI Transparan</w:t>
      </w:r>
    </w:p>
    <w:p>
      <w:pPr>
        <w:spacing w:before="0" w:after="60" w:line="276" w:lineRule="auto"/>
      </w:pPr>
      <w:r>
        <w:rPr>
          <w:rFonts w:ascii="Times New Roman" w:hAnsi="Times New Roman"/>
          <w:b w:val="0"/>
          <w:i w:val="0"/>
          <w:sz w:val="20"/>
        </w:rPr>
        <w:t>Sesuai panduan etika akademik perguruan tinggi dan ketentuan naskah ujian OBE, penggunaan asisten kecerdasan artifisial (AI) dalam penyusunan tugas ini diungkapkan secara transparan sebagai berikut:</w:t>
      </w:r>
    </w:p>
    <w:p>
      <w:pPr>
        <w:spacing w:before="0" w:after="60" w:line="276" w:lineRule="auto"/>
      </w:pPr>
      <w:r>
        <w:rPr>
          <w:rFonts w:ascii="Times New Roman" w:hAnsi="Times New Roman"/>
          <w:b w:val="0"/>
          <w:i w:val="0"/>
          <w:sz w:val="20"/>
        </w:rPr>
        <w:t>• 1. Claude (Anthropic): Digunakan pada Fase Eksplorasi &amp; Desain Arsitektur (Fase 1) untuk melakukan brainstorming perbandingan arsitektur konsorsium versus public blockchain, serta perumusan awal model ancaman STRIDE.</w:t>
      </w:r>
    </w:p>
    <w:p>
      <w:pPr>
        <w:spacing w:before="0" w:after="60" w:line="276" w:lineRule="auto"/>
      </w:pPr>
      <w:r>
        <w:rPr>
          <w:rFonts w:ascii="Times New Roman" w:hAnsi="Times New Roman"/>
          <w:b w:val="0"/>
          <w:i w:val="0"/>
          <w:sz w:val="20"/>
        </w:rPr>
        <w:t>• 2. Google Antigravity Agent: 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0" w:after="120" w:line="276" w:lineRule="auto"/>
      </w:pPr>
      <w:r>
        <w:rPr>
          <w:rFonts w:ascii="Times New Roman" w:hAnsi="Times New Roman"/>
          <w:b w:val="0"/>
          <w:i w:val="0"/>
          <w:sz w:val="20"/>
        </w:rPr>
        <w:t>• 3. Tanggung Jawab Penulis: Seluruh logika smart contract, angka konsumsi gas, hasil verifikasi tamper-evident, serta analisis kritis pada dokumen ini telah divalidasi, dieksekusi secara nyata di lingkungan komputasi lokal, dan diverifikasi kebenarannya oleh penulis.</w:t>
      </w:r>
    </w:p>
    <w:p>
      <w:pPr>
        <w:spacing w:before="0" w:after="0"/>
      </w:pPr>
      <w:r>
        <w:br w:type="page"/>
      </w:r>
    </w:p>
    <w:p>
      <w:pPr>
        <w:spacing w:before="240" w:after="80" w:line="276" w:lineRule="auto"/>
      </w:pPr>
      <w:r>
        <w:rPr>
          <w:rFonts w:ascii="Times New Roman" w:hAnsi="Times New Roman"/>
          <w:b/>
          <w:i w:val="0"/>
          <w:color w:val="000000"/>
          <w:sz w:val="24"/>
        </w:rPr>
        <w:t>Lampiran B: Keluaran Eksekusi Prototipe (Bukti B-05: Pengujian Anti-Tampering dan Kontrol Akses RBAC)</w:t>
      </w:r>
    </w:p>
    <w:p>
      <w:pPr>
        <w:spacing w:before="0" w:after="8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120" w:line="252" w:lineRule="auto"/>
      </w:pPr>
      <w:r>
        <w:rPr>
          <w:rFonts w:ascii="Consolas" w:hAnsi="Consolas"/>
          <w:sz w:val="14"/>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 [dipotong]</w:t>
      </w:r>
    </w:p>
    <w:p>
      <w:pPr>
        <w:spacing w:before="0" w:after="0"/>
      </w:pPr>
      <w:r>
        <w:br w:type="page"/>
      </w:r>
    </w:p>
    <w:p>
      <w:pPr>
        <w:spacing w:before="280" w:after="120" w:line="276" w:lineRule="auto"/>
      </w:pPr>
      <w:r>
        <w:rPr>
          <w:rFonts w:ascii="Times New Roman" w:hAnsi="Times New Roman"/>
          <w:b/>
          <w:i w:val="0"/>
          <w:color w:val="000000"/>
          <w:sz w:val="24"/>
        </w:rPr>
        <w:t>Lampiran C: Pernyataan Orisinalitas</w:t>
      </w:r>
    </w:p>
    <w:p>
      <w:pPr>
        <w:spacing w:before="0" w:after="20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cantSplit/>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Template Laporan Kegiatan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