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8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12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cantSplit/>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Kontrak aktif di alamat 0x5FbDB2315678afecb367f032d93F642f64180aa3, Tx: 0xea3e596f..., Gas: 1.039.368 unit [B-01]. (Eksekusi: 2 Oktober 2026, 18:02:25 WIB, 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6 Daun bergaram terhitung, Merkle Root: 0x6879c11e179813273132ad5cb23b58bd713d41c6535c41fec7f54ca4f3a70647 [B-02], Tabel 5, Diagram 3. (Eksekusi: 2 Oktober 2026, 18:02:25 WIB, 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Root terdaftar Block #2 tx 0xaf555924... [B-03]; verifikasi valid 0 gas [B-04]; manipulasi ditolak [B-05A]; peretas dicegat [B-05B]; pencabutan [B-06]; pause [B-07]. 8 dari 8 test lulus (T-01 s.d. T-08). Log: demo-output.txt (2 Okt 2026 18:02:25 WIB) dan test-output.txt (2 Okt 2026 18:01:47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Gas eksekusi murni issueBatch konstan 164.911 gas (O(1)), bukti selisih calldata deterministik tepat 84 gas, model anggaran verifikasi linier [B-08], Tabel 9, Tabel 11, Tabel 13. Log: perf-output.txt (Eksekusi: 2 Oktober 2026, 19:11:56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Calibri" w:hAnsi="Calibri"/>
          <w:sz w:val="17"/>
          <w:szCs w:val="17"/>
        </w:rPr>
        <w:t>Setiap artefak bukti pelaksanaan diberi kode referensi unik B-01 sampai B-08 dan merujuk langsung ke berkas log keluaran eksekusi nyata pada repositori prototipe (demo-output.txt, test-output.txt, dan perf-output.txt). Seluruh proses perancangan, implementasi prototipe, dan penyusunan laporan ini dibantu oleh agen kecerdasan artifisial (AI) sebagaimana diungkapkan secara jujur dan transparan pada Lampiran B.</w:t>
      </w:r>
    </w:p>
    <w:p>
      <w:pPr>
        <w:spacing w:before="40" w:after="10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rPr>
          <w:rFonts w:ascii="Calibri" w:hAnsi="Calibri"/>
          <w:b/>
          <w:color w:val="2C3E50"/>
          <w:sz w:val="21"/>
        </w:rPr>
        <w:t>4.1 Analisis Kelayakan, Pemangku Kepentingan, dan Arsitektur Jaringan (P1, P2 / Case 1)</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rPr>
          <w:rFonts w:ascii="Calibri" w:hAnsi="Calibri"/>
          <w:b/>
          <w:color w:val="2C3E50"/>
          <w:sz w:val="21"/>
        </w:rPr>
        <w:t>4.2 Kriptografi, W3C Verifiable Credentials, dan Integritas Daun Bergaram (P3 / Case 2)</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kepatuhan mutlak terhadap hak penghapusan data pribadi pada Pasal 8 serta kewajiban penghapusan pada Pasal 43 dan Pasal 44 UU No. 27 Tahun 2022 tentang Pelindungan Data Pribadi (UU PDP) [10] terpenuhi: jika alumni mengajukan hak penghapusan data, universitas dan alumni cukup memusnahkan dokumen lokal dan nilai salt, sehingga daun hash pada blockchain menjadi artefak komputasi acak semu yang mustahil direkonstruksi kembali (cryptographic erasure).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0x25a7dcb10e... (32 byte)</w:t>
            </w:r>
          </w:p>
        </w:tc>
        <w:tc>
          <w:tcPr>
            <w:tcW w:type="dxa" w:w="1872"/>
            <w:shd w:fill="F8F9F9"/>
            <w:tcMar>
              <w:top w:w="50" w:type="dxa"/>
              <w:bottom w:w="50" w:type="dxa"/>
              <w:left w:w="80" w:type="dxa"/>
              <w:right w:w="80" w:type="dxa"/>
            </w:tcMar>
            <w:vAlign w:val="center"/>
          </w:tcPr>
          <w:p>
            <w:r>
              <w:rPr>
                <w:rFonts w:ascii="Calibri" w:hAnsi="Calibri"/>
                <w:sz w:val="14"/>
              </w:rPr>
              <w:t>0xc4d1a22493f0f84e...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0xef67d9830c... (32 byte)</w:t>
            </w:r>
          </w:p>
        </w:tc>
        <w:tc>
          <w:tcPr>
            <w:tcW w:type="dxa" w:w="1872"/>
            <w:tcMar>
              <w:top w:w="50" w:type="dxa"/>
              <w:bottom w:w="50" w:type="dxa"/>
              <w:left w:w="80" w:type="dxa"/>
              <w:right w:w="80" w:type="dxa"/>
            </w:tcMar>
            <w:vAlign w:val="center"/>
          </w:tcPr>
          <w:p>
            <w:r>
              <w:rPr>
                <w:rFonts w:ascii="Calibri" w:hAnsi="Calibri"/>
                <w:sz w:val="14"/>
              </w:rPr>
              <w:t>0x7f0dc81a7a1ee238...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0x98bcefa401... (32 byte)</w:t>
            </w:r>
          </w:p>
        </w:tc>
        <w:tc>
          <w:tcPr>
            <w:tcW w:type="dxa" w:w="1872"/>
            <w:shd w:fill="F8F9F9"/>
            <w:tcMar>
              <w:top w:w="50" w:type="dxa"/>
              <w:bottom w:w="50" w:type="dxa"/>
              <w:left w:w="80" w:type="dxa"/>
              <w:right w:w="80" w:type="dxa"/>
            </w:tcMar>
            <w:vAlign w:val="center"/>
          </w:tcPr>
          <w:p>
            <w:r>
              <w:rPr>
                <w:rFonts w:ascii="Calibri" w:hAnsi="Calibri"/>
                <w:sz w:val="14"/>
              </w:rPr>
              <w:t>0x067083cc811ecdac...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0x12dcf678aa... (32 byte)</w:t>
            </w:r>
          </w:p>
        </w:tc>
        <w:tc>
          <w:tcPr>
            <w:tcW w:type="dxa" w:w="1872"/>
            <w:tcMar>
              <w:top w:w="50" w:type="dxa"/>
              <w:bottom w:w="50" w:type="dxa"/>
              <w:left w:w="80" w:type="dxa"/>
              <w:right w:w="80" w:type="dxa"/>
            </w:tcMar>
            <w:vAlign w:val="center"/>
          </w:tcPr>
          <w:p>
            <w:r>
              <w:rPr>
                <w:rFonts w:ascii="Calibri" w:hAnsi="Calibri"/>
                <w:sz w:val="14"/>
              </w:rPr>
              <w:t>0xeed86c98124312bf...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0xab6790ef43... (32 byte)</w:t>
            </w:r>
          </w:p>
        </w:tc>
        <w:tc>
          <w:tcPr>
            <w:tcW w:type="dxa" w:w="1872"/>
            <w:shd w:fill="F8F9F9"/>
            <w:tcMar>
              <w:top w:w="50" w:type="dxa"/>
              <w:bottom w:w="50" w:type="dxa"/>
              <w:left w:w="80" w:type="dxa"/>
              <w:right w:w="80" w:type="dxa"/>
            </w:tcMar>
            <w:vAlign w:val="center"/>
          </w:tcPr>
          <w:p>
            <w:r>
              <w:rPr>
                <w:rFonts w:ascii="Calibri" w:hAnsi="Calibri"/>
                <w:sz w:val="14"/>
              </w:rPr>
              <w:t>0x1d8e13d64338026c...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0x45a9012cdb... (32 byte)</w:t>
            </w:r>
          </w:p>
        </w:tc>
        <w:tc>
          <w:tcPr>
            <w:tcW w:type="dxa" w:w="1872"/>
            <w:tcMar>
              <w:top w:w="50" w:type="dxa"/>
              <w:bottom w:w="50" w:type="dxa"/>
              <w:left w:w="80" w:type="dxa"/>
              <w:right w:w="80" w:type="dxa"/>
            </w:tcMar>
            <w:vAlign w:val="center"/>
          </w:tcPr>
          <w:p>
            <w:r>
              <w:rPr>
                <w:rFonts w:ascii="Calibri" w:hAnsi="Calibri"/>
                <w:sz w:val="14"/>
              </w:rPr>
              <w:t>0xffb33bd42ca39de6...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rPr>
          <w:rFonts w:ascii="Calibri" w:hAnsi="Calibri"/>
          <w:b/>
          <w:color w:val="2C3E50"/>
          <w:sz w:val="21"/>
        </w:rPr>
        <w:t>4.3 Jaringan P2P, Siklus Transaksi, dan Mekanisme Konsensus (P2, P3 / Case 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rPr>
          <w:rFonts w:ascii="Calibri" w:hAnsi="Calibri"/>
          <w:b/>
          <w:color w:val="2C3E50"/>
          <w:sz w:val="21"/>
        </w:rPr>
        <w:t>4.4 Evaluasi Model UTXO Bitcoin vs Account-Based State Registry (Case 4)</w:t>
      </w:r>
    </w:p>
    <w:p>
      <w:pPr>
        <w:spacing w:before="20" w:after="50" w:line="269" w:lineRule="auto"/>
        <w:jc w:val="both"/>
      </w:pPr>
      <w:r>
        <w:rPr>
          <w:rFonts w:ascii="Calibri" w:hAnsi="Calibri"/>
          <w:b/>
          <w:sz w:val="20"/>
        </w:rPr>
        <w:t xml:space="preserve">Analisis Model UTXO: </w:t>
      </w:r>
      <w:r>
        <w:rPr>
          <w:rFonts w:ascii="Calibri" w:hAnsi="Calibri"/>
          <w:sz w:val="20"/>
        </w:rPr>
        <w:t>Model transaksi Unspent Transaction Output (UTXO) pada arsitektur Bitcoin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[Kasus 4]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rPr>
          <w:rFonts w:ascii="Calibri" w:hAnsi="Calibri"/>
          <w:b/>
          <w:color w:val="2C3E50"/>
          <w:sz w:val="21"/>
        </w:rPr>
        <w:t>4.5 Model Akun EVM, Analisis Ketat Komponen Gas, dan Model Regresi (P3, P5 / Case 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30.000.000; Gas Used: 211.084 gas (penjangkaran batch on-chain) / 187.873 s.d. 187.957 gas (benchmark); Status: 1 (Success).</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0x6879c11e..., timestamp); Tx Hash: 0xaf555924fd6db1366a269faabd6dcc2efedce4a7177a9674c8bee194bf777dc9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1.963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2.012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2.046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Calibri" w:hAnsi="Calibri"/>
          <w:b/>
          <w:sz w:val="20"/>
        </w:rPr>
        <w:t xml:space="preserve">Persamaan Regresi Linier: </w:t>
      </w:r>
      <w:r>
        <w:rPr>
          <w:rFonts w:ascii="Calibri" w:hAnsi="Calibri"/>
          <w:sz w:val="20"/>
        </w:rPr>
        <w:t>pureVerifyGas(k) = 7.795,52 + 252,62 * k (di mana k = jumlah sibling hash = ceil(log2 N))</w:t>
      </w:r>
    </w:p>
    <w:p>
      <w:pPr>
        <w:spacing w:before="10" w:after="30" w:line="269" w:lineRule="auto"/>
        <w:ind w:left="288"/>
        <w:jc w:val="both"/>
      </w:pPr>
      <w:r>
        <w:rPr>
          <w:rFonts w:ascii="Calibri" w:hAnsi="Calibri"/>
          <w:b/>
          <w:sz w:val="20"/>
        </w:rPr>
        <w:t xml:space="preserve">• </w:t>
      </w:r>
      <w:r>
        <w:rPr>
          <w:rFonts w:ascii="Calibri" w:hAnsi="Calibri"/>
          <w:b/>
          <w:sz w:val="20"/>
        </w:rPr>
        <w:t xml:space="preserve">1. Intercept Model: </w:t>
      </w:r>
      <w:r>
        <w:rPr>
          <w:rFonts w:ascii="Calibri" w:hAnsi="Calibri"/>
          <w:sz w:val="20"/>
        </w:rPr>
        <w:t>Biaya Tetap (Intercept) ≈ 7.796 gas: Berasal dari 2 kali pembacaan state storage via SLOAD (pemeriksaan batch dan status pembatalan ~4.200 gas), pemanggilan eksternal, dekoding calldata ke memori, dan pembungkusan return string. Batas kelayakan ditetapkan &lt;= 10.000 gas (memberikan safety margin ~28% di atas hasil ukur).</w:t>
      </w:r>
    </w:p>
    <w:p>
      <w:pPr>
        <w:spacing w:before="10" w:after="30" w:line="276" w:lineRule="auto"/>
        <w:ind w:left="288"/>
        <w:jc w:val="both"/>
      </w:pPr>
      <w:r>
        <w:rPr>
          <w:rFonts w:ascii="Calibri" w:hAnsi="Calibri"/>
          <w:sz w:val="19"/>
        </w:rPr>
        <w:t>• 2. Slope Model: Kemiringan (Slope) ≈ 252,6 gas/sibling: Merefleksikan perkiraan kasar opcode loop MerkleProof.verify [3], [4] per iterasi: KECCAK256 [6] (64 byte input: 42 gas) + MLOAD/MSTORE (6 gas) + percabangan &amp; stack LT/JUMP/DUP/SWAP (~15 gas). Batas kelayakan ditetapkan &lt;= 350 gas/sibling (memberikan safety margin ~38% di atas hasil ukur 252,6 gas/sibling).</w:t>
      </w:r>
    </w:p>
    <w:p>
      <w:pPr>
        <w:spacing w:before="10" w:after="30" w:line="269" w:lineRule="auto"/>
        <w:ind w:left="288"/>
        <w:jc w:val="both"/>
      </w:pPr>
      <w:r>
        <w:rPr>
          <w:rFonts w:ascii="Calibri" w:hAnsi="Calibri"/>
          <w:b/>
          <w:sz w:val="20"/>
        </w:rPr>
        <w:t xml:space="preserve">• </w:t>
      </w:r>
      <w:r>
        <w:rPr>
          <w:rFonts w:ascii="Calibri" w:hAnsi="Calibri"/>
          <w:b/>
          <w:sz w:val="20"/>
        </w:rPr>
        <w:t xml:space="preserve">3. Kriteria Evaluasi: </w:t>
      </w:r>
      <w:r>
        <w:rPr>
          <w:rFonts w:ascii="Calibri" w:hAnsi="Calibri"/>
          <w:sz w:val="20"/>
        </w:rPr>
        <w:t>Batas Kelayakan Performa: pureVerifyGas(k) &lt;= 10.000 + (k * 350) gas. Untuk N=1.000 (k=10), batasnya adalah &lt;= 13.500 gas; hasil nyata terukur adalah 10.322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spacing w:before="20" w:after="50" w:line="269" w:lineRule="auto"/>
        <w:jc w:val="both"/>
      </w:pPr>
      <w:r>
        <w:rPr>
          <w:rFonts w:ascii="Calibri" w:hAnsi="Calibri"/>
          <w:sz w:val="20"/>
        </w:rPr>
        <w:t>Kriteria penerimaan (acceptance criteria) disusun dengan merujuk pada standar ilmiah, spesifikasi formal, dan model kelayakan performa empiris, sebagaimana dirangkum dalam Tabel Kriteria Penerimaan.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T-01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T-02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T-05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T-03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T-04, T-06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T-07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T-08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(30M gas).</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T-08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T-08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8.552 gas (N=6) hingga 10.318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T-08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Rata-rata 112,88 ms (rentang 108,19 sampai 126,69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spacing w:before="20" w:after="50" w:line="269" w:lineRule="auto"/>
        <w:jc w:val="both"/>
      </w:pPr>
      <w:r>
        <w:rPr>
          <w:rFonts w:ascii="Calibri" w:hAnsi="Calibri"/>
          <w:sz w:val="20"/>
        </w:rPr>
        <w:t>Seluruh rangkaian unit test otomatis (T-01 s.d. T-08) pada test/AcademicCredentialRegistry.test.js dieksekusi menggunakan Hardhat Test Runner dengan hasil kelulusan lengkap sebagaimana dirangkum pada Tabel 9.</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[Positif] Penerbitan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[B-03] / Block #2</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[Positif] Verifikasi ijazah sah dengan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[B-04] / Gas: 0</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[Negatif] Manipulasi nilai klaim IPK atau nilai salt pada daun.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[B-05A]</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penerbitan batch oleh peretas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[B-05B]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[Fungsional] Pencabutan kredensial oleh REVOKER_ROLE.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[B-06]</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pencabutan ijazah oleh pihak ketiga tanpa hak.</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[test-output]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[Batas/Keamanan] Aktivasi jeda darurat (pause) oleh Admin.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[B-07]</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[Performa] Skalabilitas gas O(1) dan batas panjang proof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[B-08]</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1.10 ms (SD: 0.29) [0.84 - 2.18]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12.59 ms (SD: 1.41) [11.21 - 17.44]</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122.02 ms (SD: 8.63) [114.51 - 160.19]</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 (SD: 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 (SD: 8)</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55.303 gas (SD: 9)</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55.329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55.339 gas (SD: 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32.237 gas (SD: 14)</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35.312 gas (SD: 15)</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37.610 gas (SD: 26)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2.686 gas (SD: 12)</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4.759 gas (SD: 13)</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6.298 gas (SD: 17)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8.551 gas (SD: 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9.553 gas (SD: 11)</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10.312 gas (SD: 19)</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Model Linier: 7.795 + 252,6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0.60 ms (SD: 0.19)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0.63 ms (SD: 0.23)</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0.86 ms (SD: 0.32)</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[4] dengan gas konstan 164.911 gas (hemat &gt; 98%),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xml:space="preserve">• </w:t>
      </w:r>
      <w:r>
        <w:rPr>
          <w:rFonts w:ascii="Calibri" w:hAnsi="Calibri"/>
          <w:b/>
          <w:sz w:val="20"/>
        </w:rPr>
        <w:t xml:space="preserve">3. Perangkat Keras: </w:t>
      </w:r>
      <w:r>
        <w:rPr>
          <w:rFonts w:ascii="Calibri" w:hAnsi="Calibri"/>
          <w:sz w:val="20"/>
        </w:rPr>
        <w:t>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berhasil menjamin kepatuhan penuh terhadap hak penghapusan data pribadi (Right to Erasure, Pasal 8 dan Pasal 43 UU PDP No. 27/2022)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120"/>
      </w:pPr>
      <w:r>
        <w:rPr>
          <w:rFonts w:ascii="Calibri" w:hAnsi="Calibri"/>
          <w:b/>
          <w:color w:val="1B365D"/>
          <w:sz w:val="24"/>
        </w:rPr>
        <w:t>Daftar Pustaka</w:t>
      </w:r>
    </w:p>
    <w:p>
      <w:pPr>
        <w:spacing w:before="0" w:after="7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7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7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7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7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7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7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7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7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7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4 Oktober 2026].</w:t>
      </w:r>
    </w:p>
    <w:p>
      <w:pPr>
        <w:spacing w:before="0" w:after="7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7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pStyle w:val="Heading1"/>
        <w:keepNext/>
        <w:pageBreakBefore/>
        <w:spacing w:before="160" w:after="80"/>
      </w:pPr>
      <w:r>
        <w:rPr>
          <w:rFonts w:ascii="Calibri" w:hAnsi="Calibri"/>
          <w:b/>
          <w:color w:val="1B365D"/>
          <w:sz w:val="24"/>
        </w:rPr>
        <w:t>Lampiran A: Pernyataan Orisinalitas</w:t>
      </w:r>
    </w:p>
    <w:p>
      <w:pPr>
        <w:keepNext/>
        <w:spacing w:before="80" w:after="200" w:line="276" w:lineRule="auto"/>
        <w:jc w:val="both"/>
      </w:pPr>
      <w:r/>
      <w:r>
        <w:rPr>
          <w:rFonts w:ascii="Calibri" w:hAnsi="Calibri"/>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cantSplit/>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pStyle w:val="Heading1"/>
        <w:keepNext/>
        <w:spacing w:before="240" w:after="80"/>
      </w:pPr>
      <w:r>
        <w:rPr>
          <w:rFonts w:ascii="Calibri" w:hAnsi="Calibri"/>
          <w:b/>
          <w:color w:val="1B365D"/>
          <w:sz w:val="24"/>
        </w:rPr>
        <w:t>Lampiran B: Pengungkapan Penggunaan Alat Bantu AI Transparan</w:t>
      </w:r>
    </w:p>
    <w:p>
      <w:pPr>
        <w:spacing w:before="20" w:after="50" w:line="269" w:lineRule="auto"/>
        <w:jc w:val="both"/>
      </w:pPr>
      <w:r>
        <w:rPr>
          <w:rFonts w:ascii="Calibri" w:hAnsi="Calibri"/>
          <w:sz w:val="20"/>
        </w:rPr>
        <w:t>Sesuai panduan etika akademik perguruan tinggi dan ketentuan naskah ujian OBE, penggunaan asisten kecerdasan artifisial (AI) dalam penyusunan tugas ini diungkapkan secara transparan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Claude (Anthropic): </w:t>
      </w:r>
      <w:r>
        <w:rPr>
          <w:rFonts w:ascii="Calibri" w:hAnsi="Calibri"/>
          <w:sz w:val="20"/>
        </w:rPr>
        <w:t>Digunakan pada Fase Eksplorasi &amp; Desain Arsitektur (Fase 1) untuk melakukan brainstorming perbandingan arsitektur konsorsium versus public blockchain, serta perumusan awal model ancaman STRIDE.</w:t>
      </w:r>
    </w:p>
    <w:p>
      <w:pPr>
        <w:spacing w:before="10" w:after="30" w:line="269" w:lineRule="auto"/>
        <w:ind w:left="288"/>
        <w:jc w:val="both"/>
      </w:pPr>
      <w:r>
        <w:rPr>
          <w:rFonts w:ascii="Calibri" w:hAnsi="Calibri"/>
          <w:b/>
          <w:sz w:val="20"/>
        </w:rPr>
        <w:t xml:space="preserve">• </w:t>
      </w:r>
      <w:r>
        <w:rPr>
          <w:rFonts w:ascii="Calibri" w:hAnsi="Calibri"/>
          <w:b/>
          <w:sz w:val="20"/>
        </w:rPr>
        <w:t xml:space="preserve">2. Google Antigravity Agent: </w:t>
      </w:r>
      <w:r>
        <w:rPr>
          <w:rFonts w:ascii="Calibri" w:hAnsi="Calibri"/>
          <w:sz w:val="20"/>
        </w:rPr>
        <w:t>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10" w:after="30" w:line="269" w:lineRule="auto"/>
        <w:ind w:left="288"/>
        <w:jc w:val="both"/>
      </w:pPr>
      <w:r>
        <w:rPr>
          <w:rFonts w:ascii="Calibri" w:hAnsi="Calibri"/>
          <w:b/>
          <w:sz w:val="20"/>
        </w:rPr>
        <w:t xml:space="preserve">• </w:t>
      </w:r>
      <w:r>
        <w:rPr>
          <w:rFonts w:ascii="Calibri" w:hAnsi="Calibri"/>
          <w:b/>
          <w:sz w:val="20"/>
        </w:rPr>
        <w:t xml:space="preserve">3. Tanggung Jawab Penulis: </w:t>
      </w:r>
      <w:r>
        <w:rPr>
          <w:rFonts w:ascii="Calibri" w:hAnsi="Calibri"/>
          <w:sz w:val="20"/>
        </w:rPr>
        <w:t>Seluruh logika smart contract, angka konsumsi gas, hasil verifikasi tamper-evident, serta analisis kritis pada dokumen ini telah divalidasi, dieksekusi secara nyata di lingkungan komputasi lokal, dan diverifikasi kebenarannya oleh penulis.</w:t>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