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4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4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r>
              <w:rPr>
                <w:rFonts w:ascii="Calibri" w:hAnsi="Calibri"/>
                <w:sz w:val="17"/>
              </w:rPr>
              <w:t>Fajar Geran Arifin / NPM 237006079</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60" w:after="40"/>
      </w:pPr>
      <w:r>
        <w:rPr>
          <w:rFonts w:ascii="Calibri" w:hAnsi="Calibri"/>
          <w:b/>
          <w:color w:val="1B365D"/>
          <w:sz w:val="24"/>
        </w:rPr>
        <w:t>Ringkasan Kegiatan</w:t>
      </w:r>
    </w:p>
    <w:p>
      <w:pPr>
        <w:spacing w:before="20" w:after="40" w:line="276" w:lineRule="auto"/>
        <w:jc w:val="both"/>
      </w:pPr>
      <w:r>
        <w:rPr>
          <w:rFonts w:ascii="Calibri" w:hAnsi="Calibri"/>
          <w:sz w:val="17"/>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Pelindungan Data Pribadi (UU PDP) [10]. Penelitian dan proyek ini merancang sistem penjangkaran dan verifikasi kredensial akademik terdesentralisasi menggunakan jaringan blockchain konsorsium permissioned (EVM-compatible / Hyperledger Besu) yang mengintegrasikan standar W3C Verifiable Credentials Data Model v2.0 [1], kanonikalisasi JSON yang mengacu pada RFC 8785 [9], komitmen kriptografis bergaram (salted cryptographic commitment 256-bit), dan pohon Merkle [4]. Sistem dirancang dengan arsitektur Zero-PII On-Chain, di mana tidak ada data pribadi (Personally Identifiable Information) yang disimpan pada buku besar terdistribusi guna menjamin hak penghapusan data pribadi (Right to Erasure, Pasal 8 dan Pasal 43 ayat (1) UU PDP) [10], melainkan hanya Merkle Root per batch kelulusan yang dijangkarkan secara on-chain.</w:t>
      </w:r>
    </w:p>
    <w:p>
      <w:pPr>
        <w:spacing w:before="20" w:after="40" w:line="276" w:lineRule="auto"/>
        <w:jc w:val="both"/>
      </w:pPr>
      <w:r>
        <w:rPr>
          <w:rFonts w:ascii="Calibri" w:hAnsi="Calibri"/>
          <w:sz w:val="17"/>
        </w:rPr>
        <w:t>Prototipe smart contract registri (AcademicCredentialRegistry.sol) diimplementasikan menggunakan Solidity 0.8.28 dan OpenZeppelin Contracts v5.6.1 [3], dilengkapi dengan kontrol akses berbasis peran (RBAC) [3], sirkuit pemutus darurat (Pausable) [3], dan verifikasi jalur Merkle [4].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terbukti secara matematis berasal dari akumulasi parameter calldata EIP-2028 [11] (Word 0: batchId +36 gas, Word 2: graduateCount +12 gas, Word 6: metadataURI +36 gas). Verifikasi kredensial oleh publik/industri dipanggil tanpa biaya gas (0 gas via eth_call) [2] dengan latensi sub-milidetik (~0,60-0,86 ms) dan ukuran bukti pembuktian logaritmik O(log N) [4]. Seluruh 8 skenario pengujian otomatis (T-01 s.d. T-08) dan 10 kriteria kelayakan performa dan keamanan terbukti berhasil dipenuhi, membuktikan kelayakan implementasi blockchain konsorsium untuk ekosistem perguruan tinggi nasional.</w:t>
      </w:r>
    </w:p>
    <w:p>
      <w:pPr>
        <w:pStyle w:val="Heading1"/>
        <w:keepNext/>
        <w:spacing w:before="60" w:after="40"/>
      </w:pPr>
      <w:r>
        <w:rPr>
          <w:rFonts w:ascii="Calibri" w:hAnsi="Calibri"/>
          <w:b/>
          <w:color w:val="1B365D"/>
          <w:sz w:val="24"/>
        </w:rPr>
        <w:t>1 Pendahuluan</w:t>
      </w:r>
    </w:p>
    <w:p>
      <w:pPr>
        <w:pStyle w:val="Heading2"/>
        <w:keepNext/>
        <w:spacing w:before="6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76" w:lineRule="auto"/>
        <w:jc w:val="both"/>
      </w:pPr>
      <w:r>
        <w:rPr>
          <w:rFonts w:ascii="Calibri" w:hAnsi="Calibri"/>
          <w:sz w:val="19"/>
        </w:rPr>
        <w:t>Tujuan Kegiatan: Tujuan utama dari proyek ini adalah merancang, mengimplementasikan, dan menguji arsitektur sistem verifikasi kredensial akademik berbasis blockchain konsorsium yang memenuhi lima pilar utama: (1) Integritas &amp; Anti-Pemalsuan melalui pohon Merkle [4] dan hash bergaram [6]; (2) Perlindungan Privasi &amp; Kepatuhan Hukum sesuai mandat UU PDP No. 27 Tahun 2022 [10] melalui prinsip Zero-PII On-Chain; (3) Skalabilitas Komputasi On-Chain dengan efisiensi gas penjangkaran O(1) [11]; (4) Kemudahan Akses Publik dengan verifikasi berbiaya nol (0 gas via eth_call) [2]; dan (5) Tata Kelola &amp; Keamanan Berlapis melalui pemisahan peran RBAC dan jeda darurat sirkuit pemutus (circuit breaker) [3].</w:t>
      </w:r>
    </w:p>
    <w:p>
      <w:pPr>
        <w:pStyle w:val="Heading2"/>
        <w:keepNext/>
        <w:spacing w:before="6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76" w:lineRule="auto"/>
        <w:ind w:left="288"/>
        <w:jc w:val="both"/>
      </w:pPr>
      <w:r>
        <w:rPr>
          <w:rFonts w:ascii="Calibri" w:hAnsi="Calibri"/>
          <w:sz w:val="19"/>
        </w:rPr>
        <w:t>• Fitur Utama Kontrak: Fitur Fungsional Smart Contract: Registri penjangkaran Merkle root batch (issueBatch) [4], pembatalan/pencabutan kredensial perorangan (revokeCredential), verifikasi keabsahan dokumen off-chain/on-chain (verifyCredential) [2], pembekuan sistem darurat (pause/unpause) [3], serta kontrol peran (AccessControl) [3]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60" w:after="40"/>
      </w:pPr>
      <w:r>
        <w:rPr>
          <w:rFonts w:ascii="Calibri" w:hAnsi="Calibri"/>
          <w:b/>
          <w:color w:val="1B365D"/>
          <w:sz w:val="24"/>
        </w:rPr>
        <w:t>2 Data, Alat, dan Reproduksibilitas</w:t>
      </w:r>
    </w:p>
    <w:p>
      <w:pPr>
        <w:spacing w:before="20" w:after="50" w:line="269" w:lineRule="auto"/>
        <w:jc w:val="both"/>
      </w:pPr>
      <w:r>
        <w:t>Untuk memastikan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pada Tabel 1:</w:t>
      </w:r>
    </w:p>
    <w:p>
      <w:pPr>
        <w:keepNext/>
        <w:spacing w:before="60" w:after="40"/>
      </w:pPr>
      <w:r>
        <w:rPr>
          <w:rFonts w:ascii="Arial" w:hAnsi="Arial"/>
          <w:b/>
          <w:color w:val="1F2937"/>
          <w:sz w:val="19"/>
        </w:rPr>
        <w:t>Tabel 1. Komponen Lingkungan Pengujian dan Reproduksibilitas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r>
              <w:t>Perangkat keras: 12th Gen Intel(R) Core(TM) i5-12450H (12 thread logis), RAM total 15 GiB. OS: Ubuntu 24.04.4 LTS x86_64, Node.js v24.14.0.</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mengacu pada RFC 8785, utilitas pembangkit salt acak crypto.randomBytes(32), implementasi pohon Merkle keccak256 berurutan terurut.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60" w:after="40"/>
      </w:pPr>
      <w:r>
        <w:t>3 Catatan Pelaksanaan</w:t>
        <w:br/>
        <w:t>Pelaksanaan mini-project perancangan dan evaluasi sistem verifikasi kredensial akademik berbasis blockchain konsorsium ini dirangkum dalam Tabel 2.</w:t>
      </w:r>
    </w:p>
    <w:p>
      <w:pPr>
        <w:keepNext/>
        <w:spacing w:before="60" w:after="40"/>
      </w:pPr>
      <w:r>
        <w:rPr>
          <w:rFonts w:ascii="Arial" w:hAnsi="Arial"/>
          <w:b/>
          <w:color w:val="1F2937"/>
          <w:sz w:val="19"/>
        </w:rPr>
        <w:t>Tabel 2. Catatan Pelaksanaan Mini-Project Perancangan Sistem Blockchain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rPr>
          <w:tblHeader/>
        </w:trPr>
        <w:tc>
          <w:tcPr>
            <w:tcW w:type="dxa" w:w="1814"/>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Tahap</w:t>
            </w:r>
          </w:p>
        </w:tc>
        <w:tc>
          <w:tcPr>
            <w:tcW w:type="dxa" w:w="4075"/>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Kegiatan yang Dilakukan</w:t>
            </w:r>
          </w:p>
        </w:tc>
        <w:tc>
          <w:tcPr>
            <w:tcW w:type="dxa" w:w="3398"/>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Hasil dan Rujukan Bukti</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1: Analisis dan Desain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Identifikasi 4 pemangku kepentingan (universitas, alumni, verifikator industri, regulator Dikti), evaluasi kelemahan dan inefisiensi verifikasi ijazah konvensional, pemodelan 6 ancaman STRIDE, serta perumusan arsitektur jaringan konsorsium permissioned (EVM / Hyperledger Besu) dan skema Zero-PII on-chain.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design-decisions.md, Diagram 1 (Arsitektur Jaringan Konsorsium), Tabel 3 (Komparasi DB vs Blockchain), dan Tabel 10 (Matriks Ancaman STRIDE).</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2: Lingkungan dan Kontrak</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Inisialisasi proyek Hardhat lokal (Chain ID 31337), implementasi smart contract AcademicCredentialRegistry.sol dengan pustaka OpenZeppelin v5 (AccessControl, Pausable, MerkleProof), kompilasi bytecode Solidity 0.8.28, dan deployment kontrak.</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Kontrak aktif di alamat 0x5FbDB23156..., Tx: 0x145b5523..., Gas: 1.039.368 unit [B-01]</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3: Data dan Kriptografi</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Penyusunan dataset 6 lulusan sintetis, kanonikalisasi JSON yang mengacu pada RFC 8785, injeksi salt 256-bit acak CSPRNG (crypto.randomBytes), kalkulasi komitmen daun Keccak-256, dan pembentukan Merkle tree off-chain.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rPr>
                <w:rFonts w:ascii="Arial" w:hAnsi="Arial"/>
                <w:sz w:val="17"/>
              </w:rPr>
              <w:t>Pohon Merkle (129,44 ms off-chain, B-02); 6 daun bergaram, Root: 0x46ca2e83... (Tabel 5, Diagram 3, results/demo-output.txt)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4: Eksekusi dan Pengujian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Eksekusi penjangkaran batch wisuda on-chain oleh ISSUER_ROLE, verifikasi ijazah sah via eth_call, uji tamper klaim IPK, uji kontrol akses penyerang, pencabutan kredensial oleh REVOKER_ROLE, dan audit jeda darurat (pause/unpause).</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Root terdaftar Block #2 tx 0x1737c359... [B-03]; verifikasi valid 0 gas [B-04]; manipulasi ditolak [B-05A/B]; cabut ijazah (Gas: 56.359 unit) [B-06]; jeda darurat pause (Gas: 48.214 unit) [B-07], Tabel 7, Tabel 9, Tabel 10</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5: Pengukuran Performa</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Automated benchmarking 30 iterasi terukur (+ 2 warm-up) pada batch N=6, 100, dan 1.000 lulusan sintetis: waktu build pohon off-chain, gas issueBatch, gas revokeCredential, biaya calldata EIP-2028, dan estimasi gas eksekusi murni verifikasi.</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Gas eksekusi murni issueBatch konstan 164.911 gas (O(1)), bukti selisih calldata deterministik tepat 84 gas, model kelayakan verifikasi linear 7.800 + 251*k gas, kueri publik 0 gas. Rujukan: B-08, Tabel 8, Lampiran D, Lampiran E (results/perf-output.txt)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6: Penyusunan Laporan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Pengisian template laporan teknis resmi, sinkronisasi metrik B-01 s.d. B-08 terhadap log aktual, render diagram monokrom Graphviz 300 DPI, penandatanganan orisinalitas, ekspor PDF, dan pemeriksaan tampilan visual.</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laporan teknis Laporan_UTS_Blockchain_237006079.docx dan berkas PDF final (4 Oktober 2026).</w:t>
            </w:r>
          </w:p>
        </w:tc>
      </w:tr>
    </w:tbl>
    <w:p>
      <w:pPr>
        <w:spacing w:before="60" w:after="40" w:line="250" w:lineRule="auto"/>
        <w:rPr>
          <w:rFonts w:ascii="Calibri" w:hAnsi="Calibri"/>
          <w:sz w:val="17"/>
          <w:szCs w:val="17"/>
        </w:rPr>
      </w:pPr>
      <w:r>
        <w:rPr>
          <w:rFonts w:ascii="Times New Roman" w:hAnsi="Times New Roman"/>
          <w:sz w:val="20"/>
        </w:rPr>
        <w:t>Setiap artefak bukti pelaksanaan diberi kode referensi unik B-01 sampai B-08 dan merujuk langsung ke berkas log keluaran eksekusi nyata pada repositori prototipe (results/demo-output.txt, results/test-output.txt, dan results/perf-output.txt). Seluruh proses perancangan, implementasi prototipe, dan penyusunan laporan ini dibantu oleh agen kecerdasan artifisial (AI) sebagaimana diungkapkan secara jujur dan transparan pada Lampiran A.</w:t>
      </w:r>
    </w:p>
    <w:p>
      <w:pPr>
        <w:spacing w:before="40" w:after="40" w:line="250" w:lineRule="auto"/>
        <w:rPr>
          <w:rFonts w:ascii="Calibri" w:hAnsi="Calibri"/>
          <w:sz w:val="17"/>
          <w:szCs w:val="17"/>
        </w:rPr>
      </w:pPr>
      <w:r>
        <w:rPr>
          <w:rFonts w:ascii="Calibri" w:hAnsi="Calibri"/>
          <w:b/>
          <w:sz w:val="17"/>
          <w:szCs w:val="17"/>
        </w:rPr>
        <w:t xml:space="preserve">Aspek Keamanan dan Kerahasiaan Lingkungan Uji: </w:t>
      </w:r>
      <w:r>
        <w:rPr>
          <w:rFonts w:ascii="Calibri" w:hAnsi="Calibri"/>
          <w:sz w:val="17"/>
          <w:szCs w:val="17"/>
        </w:rPr>
        <w:t>Seluruh pengujian menggunakan data kelulusan sintetis fiktif sehingga tidak ada data pribadi riil yang terekspos; pengujian tidak menggunakan kunci privat bernilai nyata, melainkan memanfaatkan akun pengembang bawaan node Hardhat lokal; serta nilai salt 256-bit dibangkitkan secara acak murni menggunakan CSPRNG Node.js (crypto.randomBytes) pada setiap sesi eksekusi guna menjamin sifat unik daun komitmen tanpa kebocoran entropi.</w:t>
      </w:r>
    </w:p>
    <w:p>
      <w:pPr>
        <w:pStyle w:val="Heading1"/>
        <w:keepNext/>
        <w:spacing w:before="60" w:after="40"/>
      </w:pPr>
      <w:r>
        <w:rPr>
          <w:rFonts w:ascii="Calibri" w:hAnsi="Calibri"/>
          <w:b/>
          <w:color w:val="1B365D"/>
          <w:sz w:val="24"/>
        </w:rPr>
        <w:t>4 Bagian Khusus UTS: Perancangan Sistem Verifikasi Kredensial Akademik</w:t>
      </w:r>
    </w:p>
    <w:p>
      <w:pPr>
        <w:pStyle w:val="Heading2"/>
        <w:keepNext/>
        <w:spacing w:before="60" w:after="40"/>
      </w:pPr>
      <w:r>
        <w:t>4.1 Analisis Kelayakan, Pemangku Kepentingan, dan Arsitektur Jaringan (P1, P2)</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76" w:lineRule="auto"/>
        <w:ind w:left="288"/>
        <w:jc w:val="both"/>
      </w:pPr>
      <w:r>
        <w:rPr>
          <w:rFonts w:ascii="Calibri" w:hAnsi="Calibri"/>
          <w:sz w:val="19"/>
        </w:rPr>
        <w:t>• 2. Mahasiswa / Alumni: Mahasiswa &amp; Alumni (Pemegang / Holder): Memiliki hak kepemilikan mutlak atas dokumen akademiknya, membutuhkan kemudahan portabilitas dokumen digital [1], serta dilindungi hak privasinya atas data pribadi (Pasal 8 UU PDP No. 27/2022) [10].</w:t>
      </w:r>
    </w:p>
    <w:p>
      <w:pPr>
        <w:spacing w:before="10" w:after="30" w:line="269" w:lineRule="auto"/>
        <w:ind w:left="288"/>
        <w:jc w:val="both"/>
      </w:pPr>
      <w:r>
        <w:t>• 3. DUDI / Industri: Dunia Usaha dan Industri / Instansi Kerja (Pemverifikasi / Verifier / HRD): Membutuhkan layanan verifikasi yang instan (&lt; 1 detik sesuai batas toleransi respons kognitif Nielsen [7]),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t>Permasalahan &amp; Trust: 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 sebagaimana dikomparasikan dalam Tabel 3.</w:t>
      </w:r>
    </w:p>
    <w:p>
      <w:pPr>
        <w:keepNext/>
        <w:spacing w:before="60" w:after="40"/>
      </w:pPr>
      <w:r>
        <w:rPr>
          <w:rFonts w:ascii="Arial" w:hAnsi="Arial"/>
          <w:b/>
          <w:color w:val="1F2937"/>
          <w:sz w:val="19"/>
        </w:rPr>
        <w:t>Tabel 3. Perbandingan Karakteristik Basis Data Terpusat vs Blockchain Konsorsium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r>
              <w:t>Mencegah single point of failure dan mendukung ketersediaan verifikasi dokumen lintas generasi.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r>
              <w:rPr>
                <w:rFonts w:ascii="Calibri" w:hAnsi="Calibri"/>
                <w:sz w:val="14"/>
              </w:rPr>
              <w:t>Data yang tertulis di ledger tidak dapat dihapus (kontradiksi dengan hak hapus data pribadi Pasal 8 UU PDP [10]).</w:t>
            </w:r>
          </w:p>
        </w:tc>
        <w:tc>
          <w:tcPr>
            <w:tcW w:type="dxa" w:w="2016"/>
            <w:tcMar>
              <w:top w:w="50" w:type="dxa"/>
              <w:bottom w:w="50" w:type="dxa"/>
              <w:left w:w="80" w:type="dxa"/>
              <w:right w:w="80" w:type="dxa"/>
            </w:tcMar>
            <w:vAlign w:val="center"/>
          </w:tcPr>
          <w:p>
            <w:r>
              <w:rPr>
                <w:rFonts w:ascii="Calibri" w:hAnsi="Calibri"/>
                <w:sz w:val="14"/>
              </w:rPr>
              <w:t>Solusi hibrida: Data pribadi disimpan off-chain, hanya Merkle root [4] yang dijangkarkan ke blockchain publik/konsorsium.</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40" w:line="269" w:lineRule="auto"/>
        <w:jc w:val="center"/>
      </w:pPr>
      <w:r>
        <w:rPr>
          <w:rFonts w:ascii="Calibri" w:hAnsi="Calibri"/>
          <w:i/>
          <w:color w:val="555555"/>
          <w:sz w:val="17"/>
        </w:rPr>
        <w:t>Diagram 1: Arsitektur Sistem Kredensial Akademik Konsorsium Berbasis Zero-PII dan Merkle Tree</w:t>
      </w:r>
    </w:p>
    <w:p>
      <w:pPr>
        <w:keepNext/>
        <w:spacing w:before="60" w:after="40"/>
      </w:pPr>
      <w:r>
        <w:rPr>
          <w:rFonts w:ascii="Arial" w:hAnsi="Arial"/>
          <w:b/>
          <w:color w:val="1F2937"/>
          <w:sz w:val="19"/>
        </w:rPr>
        <w:t>Tabel 4. Partisi Komponen Data On-Chain vs Off-Chain dan Kepatuhan Privasi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r>
              <w:t>Selaras dengan Pasal 4 ayat (3), Pasal 8, 9, dan 43 UU PDP [10] (Right to Erasure); mencegah doxxing dan kebocoran identitas publik.</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60" w:after="40"/>
      </w:pPr>
      <w:r>
        <w:t>4.2 Kriptografi, W3C Verifiable Credentials, dan Integritas Daun Bergaram (P3)</w:t>
      </w:r>
    </w:p>
    <w:p>
      <w:pPr>
        <w:spacing w:before="20" w:after="50" w:line="276" w:lineRule="auto"/>
        <w:jc w:val="both"/>
      </w:pPr>
      <w:r>
        <w:rPr>
          <w:rFonts w:ascii="Calibri" w:hAnsi="Calibri"/>
          <w:sz w:val="19"/>
        </w:rPr>
        <w:t>Prinsip Kriptografi &amp; Komitmen Bergaram: Sistem menerapkan fungsi hash kriptografis Keccak-256 (spesifikasi asli Ethereum dengan aturan multi-rate padding 10*1 [6], yang berbeda dengan standar NIST FIPS 202 SHA3-256 yang menambahkan domain separator 01 [12]).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 [4]:</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Canonicalize_Acuan_RFC8785(Klaim_Akademik) || Salt_256bit )</w:t>
      </w:r>
    </w:p>
    <w:p>
      <w:pPr>
        <w:spacing w:before="20" w:after="50" w:line="276" w:lineRule="auto"/>
        <w:jc w:val="both"/>
      </w:pPr>
      <w:r>
        <w:t>Standar W3C VC &amp; Keselarasan Hak Hapus: Kanonikalisasi JSON yang mengacu pada RFC 8785 [9] memastikan bahwa susunan kunci atribut kamus selalu deterministik secara byte-level di seluruh platform sistem operasi. Standar W3C Verifiable Credentials Data Model v2.0 [1] mendefinisikan mekanisme credentialStatus untuk memeriksa keabsahan dokumen; penjangkaran status melalui Merkle Root on-chain [4] merupakan pilihan desain arsitektur pada prototipe ini. Desain arsitektur Zero-PII ini dirancang selaras dengan prinsip pelindungan data pribadi pada UU No. 27 Tahun 2022 (UU PDP) [10], khususnya klasifikasi data pribadi umum pada Pasal 4 ayat (3), hak subjek data untuk meminta pemusnahan/penghapusan data pada Pasal 8, serta kewajiban pengendali data untuk melakukan penghapusan data pribadi pada Pasal 43 ayat (1): jika alumni mengajukan hak penghapusan data, pemusnahan dokumen lokal dan nilai salt off-chain dirancang untuk mengurangi keterkaitan data (data linkability) antara subjek dan rekaman transaksi; status hukum atas residu hash pada buku besar publik tetap memerlukan telaah hukum lebih lanjut. Struktur data record daun dan injeksi salt ini dirangkum dalam Tabel 5.</w:t>
      </w:r>
    </w:p>
    <w:p>
      <w:pPr>
        <w:keepNext/>
        <w:spacing w:before="60" w:after="40"/>
      </w:pPr>
      <w:r>
        <w:rPr>
          <w:rFonts w:ascii="Arial" w:hAnsi="Arial"/>
          <w:b/>
          <w:color w:val="1F2937"/>
          <w:sz w:val="19"/>
        </w:rPr>
        <w:t>Tabel 5. Struktur Data Record Daun Merkle Kredensial Akademik Uji Coba</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0x7b5f7365dffd18a8...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0xf3695a1ce4a97902...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0xca7c3acd32fa82a2...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0x5c97927280c16ef9...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0xcc0d8357be021242...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0x108e53ac2b7a5439...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4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60" w:after="40"/>
      </w:pPr>
      <w:r>
        <w:t>4.3 Jaringan P2P, Siklus Transaksi, Mekanisme Konsensus, dan Evaluasi Model UTXO (P2, P3)</w:t>
      </w:r>
    </w:p>
    <w:p>
      <w:pPr>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3803904" cy="3457246"/>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4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t>Analisis Fork &amp; Pemilihan Konsensus: 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 Evaluasi Model UTXO vs Akun EVM (P2): Dalam memenuhi luaran P2 terkait justifikasi arsitektur, model Unspent Transaction Output (UTXO) Bitcoin dianalisis sebagai pembanding. Model UTXO bersifat stateless dan membatasi penyisipan data pada script OP_RETURN maksimal 80 byte (~0.005 BTC biaya transaksi ilustratif tanpa smart logic). Kelemahan fatal UTXO untuk ijazah adalah ketiadaan penyimpanan status dinamis (stateful storage); untuk membatalkan ijazah pada UTXO, penerbit harus membuat rantai transaksi pembelanjaan baru yang rumit. Sebaliknya, model akun EVM menyediakan mesin status terprogram yang memungkinkan penyimpanan status pencabutan individual secara langsung dalam slot mapping storage (_revokedCredentials[leafHash]) dengan kompleksitas akses O(1) dan biaya komputasi deterministik.</w:t>
      </w:r>
    </w:p>
    <w:p>
      <w:pPr>
        <w:spacing w:before="10" w:after="30" w:line="269" w:lineRule="auto"/>
        <w:ind w:left="288"/>
        <w:jc w:val="both"/>
      </w:pPr>
      <w:r>
        <w:rPr>
          <w:rFonts w:ascii="Calibri" w:hAnsi="Calibri"/>
          <w:b/>
          <w:sz w:val="20"/>
        </w:rPr>
        <w:t xml:space="preserve">• </w:t>
      </w:r>
      <w:r>
        <w:rPr>
          <w:rFonts w:ascii="Calibri" w:hAnsi="Calibri"/>
          <w:b/>
          <w:sz w:val="20"/>
        </w:rPr>
        <w:t xml:space="preserve">1. Instant Finality: </w:t>
      </w:r>
      <w:r>
        <w:rPr>
          <w:rFonts w:ascii="Calibri" w:hAnsi="Calibri"/>
          <w:sz w:val="20"/>
        </w:rPr>
        <w:t>Ketuntasan Mutlak Seketika (Deterministic Instant Finality): Sekali blok di-commit oleh 2F + 1 validator, blok tersebut mustahil mengalami reorg atau percabangan,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sangat ramah lingkungan dan sejalan dengan standar institusi pendidikan hijau.</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p>
      <w:pPr>
        <w:keepNext/>
        <w:spacing w:before="60" w:after="40"/>
      </w:pPr>
      <w:r>
        <w:rPr>
          <w:rFonts w:ascii="Arial" w:hAnsi="Arial"/>
          <w:b/>
          <w:color w:val="1F2937"/>
          <w:sz w:val="19"/>
        </w:rPr>
        <w:t>Tabel 6. Analisis Komparatif Mekanisme Konsensus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rP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60" w:after="40"/>
      </w:pPr>
      <w:r>
        <w:t>4.4 Model Akun EVM, Analisis Ketat Komponen Gas, dan Model Regresi (P3, P5)</w:t>
      </w:r>
    </w:p>
    <w:p>
      <w:pPr>
        <w:spacing w:before="20" w:after="50" w:line="269" w:lineRule="auto"/>
        <w:jc w:val="both"/>
      </w:pPr>
      <w:r>
        <w:t>Keterkaitan dengan P3, P5 &amp; Model Akun EVM: Untuk memenuhi luaran P3 (desain smart contract) dan P5 (analisis performa gas mendalam), subbab ini membedah model komputasi akun EVM. EVM mengkategorikan akun ke dalam dua entitas: Externally Owned Account (EOA) yang dikendalikan oleh pasangan kunci privat/publik kurva secp256k1, dan Contract Account yang dikendalikan oleh kode bytecode tersimpan. Komposisi field transaksi issueBatch dan kueri verifikasi dirangkum dalam Tabel 7.</w:t>
      </w:r>
    </w:p>
    <w:p>
      <w:pPr>
        <w:keepNext/>
        <w:spacing w:before="60" w:after="40"/>
      </w:pPr>
      <w:r>
        <w:rPr>
          <w:rFonts w:ascii="Arial" w:hAnsi="Arial"/>
          <w:b/>
          <w:color w:val="1F2937"/>
          <w:sz w:val="19"/>
        </w:rPr>
        <w:t>Tabel 7. Parameter Field Transaksi Penjangkaran EVM pada Node Lokal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Limit / Gas Used / Status</w:t>
            </w:r>
          </w:p>
        </w:tc>
        <w:tc>
          <w:tcPr>
            <w:tcW w:type="dxa" w:w="6480"/>
            <w:shd w:fill="F8F9F9"/>
            <w:tcMar>
              <w:top w:w="50" w:type="dxa"/>
              <w:bottom w:w="50" w:type="dxa"/>
              <w:left w:w="80" w:type="dxa"/>
              <w:right w:w="80" w:type="dxa"/>
            </w:tcMar>
            <w:vAlign w:val="center"/>
          </w:tcPr>
          <w:p>
            <w:r>
              <w:t>Gas Limit Blok: 60.000.000 (Parameter terukur node lokal Hardhat); Gas Used: 211.084 gas (penjangkaran batch); Status: 1 (Success)</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Event Logs &amp; Transaction Hash</w:t>
            </w:r>
          </w:p>
        </w:tc>
        <w:tc>
          <w:tcPr>
            <w:tcW w:type="dxa" w:w="6480"/>
            <w:tcMar>
              <w:top w:w="50" w:type="dxa"/>
              <w:bottom w:w="50" w:type="dxa"/>
              <w:left w:w="80" w:type="dxa"/>
              <w:right w:w="80" w:type="dxa"/>
            </w:tcMar>
            <w:vAlign w:val="center"/>
          </w:tcPr>
          <w:p>
            <w:r>
              <w:rPr>
                <w:rFonts w:ascii="Arial" w:hAnsi="Arial"/>
                <w:sz w:val="17"/>
              </w:rPr>
              <w:t>Event: BatchIssued(WISUDA-2026-PERIODE-1, 0x46ca2e83..., timestamp); Tx Hash: 0x1737c359...; Block: #2 [B-03]</w:t>
            </w:r>
          </w:p>
        </w:tc>
      </w:tr>
    </w:tbl>
    <w:p>
      <w:pPr>
        <w:spacing w:before="20" w:after="50" w:line="276" w:lineRule="auto"/>
        <w:jc w:val="both"/>
      </w:pPr>
      <w:r>
        <w:t>Perhitungan Ketat Komponen Gas issueBatch: 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[11] (16 gas per byte non-nol dan 4 gas per byte nol), sebagaimana dirinci pada Tabel 8:</w:t>
      </w:r>
    </w:p>
    <w:p>
      <w:pPr>
        <w:keepNext/>
        <w:spacing w:before="60" w:after="40"/>
      </w:pPr>
      <w:r>
        <w:rPr>
          <w:rFonts w:ascii="Arial" w:hAnsi="Arial"/>
          <w:b/>
          <w:color w:val="1F2937"/>
          <w:sz w:val="19"/>
        </w:rPr>
        <w:t>Tabel 8. Rincian Komponen Konsumsi Gas Transaksi issueBatch (N = 6, 100, 1.000)</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1.963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2.011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2.047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t>Pembuktian Sumber Selisih Calldata 84 Gas: Pengukuran empiris menunjukkan bahwa selisih gas sebesar 84 gas antara batch N=6 dan N=1.000 dapat dijelaskan secara deterministik melalui akumulasi tiga parameter calldata ABI transaksi: (1) Parameter batchId (Word 0): penambahan string 'BATCH-1000' vs 'BATCH-6' mengubah 3 byte nol menjadi byte non-nol (+36 gas); (2) Parameter graduateCount (Word 2): nilai heksadesimal N=1000 (heksadesimal 03e8) memuat 2 byte non-nol vs N=6 (heksadesimal 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Times New Roman" w:hAnsi="Times New Roman"/>
          <w:b/>
          <w:sz w:val="20"/>
        </w:rPr>
        <w:t>Persamaan Regresi Linier: pureVerifyGas(k) = 7.800,04 + 251,26 * k (di mana k = jumlah sibling hash = ceil(log2 N))</w:t>
      </w:r>
    </w:p>
    <w:p>
      <w:pPr>
        <w:spacing w:before="10" w:after="30" w:line="269" w:lineRule="auto"/>
        <w:ind w:left="288"/>
        <w:jc w:val="both"/>
      </w:pPr>
      <w:r>
        <w:rPr>
          <w:rFonts w:ascii="Calibri" w:hAnsi="Calibri"/>
          <w:sz w:val="19"/>
        </w:rPr>
        <w:t>• 1. Intercept Model: Biaya Tetap (Intercept) ≈ 7.800 gas: Secara perkiraan analitis diestimasi berasal dari 2 kali pembacaan state storage via SLOAD (pemeriksaan batch dan status pembatalan ~4.200 gas), pemanggilan eksternal, dekoding calldata ke memori, dan pembungkusan return string. Batas kelayakan &lt;= 10.000 gas ditetapkan sebagai anggaran turunan dari pengukuran (bukan hipotesis awal), memberikan safety margin ~28% di atas hasil ukur.</w:t>
      </w:r>
    </w:p>
    <w:p>
      <w:pPr>
        <w:spacing w:before="10" w:after="30" w:line="276" w:lineRule="auto"/>
        <w:ind w:left="288"/>
        <w:jc w:val="both"/>
      </w:pPr>
      <w:r>
        <w:rPr>
          <w:rFonts w:ascii="Calibri" w:hAnsi="Calibri"/>
          <w:sz w:val="19"/>
        </w:rPr>
        <w:t>• 2. Slope Model: Kemiringan (Slope) ≈ 251,3 gas/sibling: Merefleksikan perkiraan analitis atas opcode loop MerkleProof.verify [3], [4] per iterasi: KECCAK256 [6] (64 byte input: 42 gas) + MLOAD/MSTORE (6 gas) + percabangan &amp; stack LT/JUMP/DUP/SWAP (~15 gas). Batas kelayakan &lt;= 350 gas/sibling merupakan anggaran turunan dari pengukuran (bukan hipotesis awal), memberikan safety margin ~39% di atas hasil ukur.</w:t>
      </w:r>
    </w:p>
    <w:p>
      <w:pPr>
        <w:spacing w:before="10" w:after="30" w:line="269" w:lineRule="auto"/>
        <w:ind w:left="288"/>
        <w:jc w:val="both"/>
      </w:pPr>
      <w:r>
        <w:rPr>
          <w:rFonts w:ascii="Calibri" w:hAnsi="Calibri"/>
          <w:sz w:val="19"/>
        </w:rPr>
        <w:t>• 3. Kriteria Evaluasi: Batas Kelayakan Performa: pureVerifyGas(k) &lt;= 10.000 + (k * 350) gas merupakan batas anggaran turunan dari pengukuran (bukan hipotesis awal). Untuk N=1.000 (k=10), batas anggarannya adalah &lt;= 13.500 gas; hasil nyata terukur adalah 10.313 gas (LULUS baseline kelayakan).</w:t>
      </w:r>
    </w:p>
    <w:p>
      <w:pPr>
        <w:spacing w:before="10" w:after="30" w:line="276" w:lineRule="auto"/>
        <w:ind w:left="288"/>
        <w:jc w:val="both"/>
      </w:pPr>
      <w:r>
        <w:rPr>
          <w:rFonts w:ascii="Calibri" w:hAnsi="Calibri"/>
          <w:sz w:val="19"/>
        </w:rPr>
        <w:t>• 4. Gas Nol Pemverifikasi: Biaya Verifikasi bagi Publik / HRD: 0 gas (eksekusi kueri view melalui pemanggilan eth_call pada node JSON-RPC tanpa pembuatan transaksi, sehingga 100% bebas biaya bagi masyarakat sesuai dokumentasi resmi Ethereum [2]).</w:t>
      </w:r>
    </w:p>
    <w:p>
      <w:pPr>
        <w:pStyle w:val="Heading2"/>
        <w:keepNext/>
        <w:spacing w:before="60" w:after="40"/>
      </w:pPr>
      <w:r>
        <w:t>4.5 Analisis Keamanan, Model Ancaman STRIDE, dan Respons Insiden 24 Jam (P4)</w:t>
      </w:r>
    </w:p>
    <w:p>
      <w:pPr>
        <w:spacing w:before="20" w:after="50" w:line="269" w:lineRule="auto"/>
        <w:jc w:val="both"/>
      </w:pPr>
      <w: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Kontrol mitigasi menerapkan prinsip hak istimewa terkecil (Principle of Least Privilege) dari Saltzer dan Schroeder (1975) [5] melalui pemisahan peran berwenang, sebagaimana dirangkum dalam Tabel 9 (Matriks Analisis Ancaman STRIDE).</w:t>
      </w:r>
    </w:p>
    <w:p>
      <w:pPr>
        <w:keepNext/>
        <w:spacing w:before="60" w:after="40"/>
      </w:pPr>
      <w:r>
        <w:rPr>
          <w:rFonts w:ascii="Arial" w:hAnsi="Arial"/>
          <w:b/>
          <w:color w:val="1F2937"/>
          <w:sz w:val="19"/>
        </w:rPr>
        <w:t>Tabel 9. Matriks Analisis Ancaman STRIDE dan Kontrol Mitigasi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r>
              <w:rPr>
                <w:rFonts w:ascii="Calibri" w:hAnsi="Calibri"/>
                <w:sz w:val="14"/>
              </w:rPr>
              <w:t>Risiko: Kritis | Dampak: Nol (Patuh UU PDP [10])</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60" w:after="40"/>
      </w:pPr>
      <w:r>
        <w:t>4.6 Implementasi Prototipe, Kriteria Penerimaan, dan Pengujian Performa (P5)</w:t>
      </w:r>
    </w:p>
    <w:p>
      <w:pPr>
        <w:spacing w:before="20" w:after="50" w:line="269" w:lineRule="auto"/>
        <w:jc w:val="both"/>
      </w:pPr>
      <w:r>
        <w:t>Kriteria penerimaan (acceptance criteria) disusun dengan merujuk pada standar ilmiah W3C VC [1], Ethereum JSON-RPC [2], dan RFC 8785 [9]. Rincian matriks evaluasi lengkap kriteria penerimaan terhadap luaran OBE disajikan pada Lampiran D. Di lingkungan pengujian otomatis Hardhat, seluruh skenario uji fungsional, keamanan, dan performa (T-01 s.d. T-08) berhasil lulus 100%, sebagaimana dirangkum pada Tabel 10.</w:t>
      </w:r>
    </w:p>
    <w:p>
      <w:pPr>
        <w:spacing w:before="40" w:after="40" w:line="252" w:lineRule="auto"/>
      </w:pPr>
      <w:r>
        <w:rPr>
          <w:rFonts w:ascii="Arial" w:hAnsi="Arial"/>
          <w:color w:val="1F2937"/>
          <w:sz w:val="17"/>
        </w:rPr>
        <w:t>Ringkasan ambang batas penerimaan luaran OBE (rincian lengkap disajikan pada Lampiran D):</w:t>
        <w:br/>
        <w:t>• Penjangkaran &amp; Verifikasi (T-01, T-02): status=1, exists==true; isValid==true, status 'VALID', gas pemverifikasi = 0 (via eth_call).</w:t>
        <w:br/>
        <w:t>• Resistensi Manipulasi (T-03): isValid==false, status 'INVALID_PROOF_OR_TAMPERED' untuk klaim atau salt palsu.</w:t>
        <w:br/>
        <w:t>• Kontrol Akses Berperan (T-04, T-06): Revert seketika dengan AccessControlUnauthorizedAccount untuk akun tanpa hak.</w:t>
        <w:br/>
        <w:t>• Jeda Darurat &amp; Pencabutan (T-05, T-07): Status 'CREDENTIAL_REVOKED' (O(1)); penulisan revert EnforcedPause saat jeda aktif.</w:t>
        <w:br/>
        <w:t>• Skalabilitas Gas &amp; Bukti (T-08): Deviasi relatif gas eksekusi murni &lt;= 1,0% (O(1)); panjang bukti &lt;= ceil(log2 N) (3, 7, 10).</w:t>
        <w:br/>
        <w:t>• Anggaran Komputasi &amp; Latensi (T-08): pureGas(k) &lt;= 10.000 + 350*k gas; durasi bangun pohon Merkle off-chain &lt; 1.000 ms.</w:t>
      </w:r>
    </w:p>
    <w:p>
      <w:pPr>
        <w:keepNext/>
        <w:spacing w:before="60" w:after="40"/>
      </w:pPr>
      <w:r>
        <w:rPr>
          <w:rFonts w:ascii="Arial" w:hAnsi="Arial"/>
          <w:b/>
          <w:color w:val="1F2937"/>
          <w:sz w:val="19"/>
        </w:rPr>
        <w:t>Tabel 10. Ringkasan Hasil Eksekusi Pengujian Unit Test Otomatis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T-01: menerbitkan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[B-03] / Block #2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T-02: memverifikasi kredensial sah menggunakan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[B-04] / Gas: 0 (results/demo-output.txt)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T-03: menolak manipulasi klaim data IPK dan salt palsu</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[B-05A] (results/demo-output.txt &amp; Lampiran B)</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T-04: membatalkan upaya penerbitan batch oleh pihak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[B-05B] (results/demo-output.txt &amp; Lampiran B)</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T-05: mencabut status keabsahan ijazah oleh REVOKER_ROLE secara spesifik</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[B-06]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T-06: membatalkan upaya pencabutan ijazah oleh pihak tanpa peran REVOKER_ROLE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[results/test-output.txt]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T-07: menghentikan mutasi state saat jeda darurat pause aktif dan pulih pasca-unpause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[B-07]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T-08: mengevaluasi efisiensi gas konstan O(1) dan panjang proof logaritmik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[B-08] (results/perf-output.txt)</w:t>
            </w:r>
          </w:p>
        </w:tc>
      </w:tr>
    </w:tbl>
    <w:p>
      <w:pPr>
        <w:spacing w:before="20" w:after="50" w:line="269" w:lineRule="auto"/>
        <w:jc w:val="both"/>
      </w:pPr>
      <w:r>
        <w:t>Pengujian performa mendalam dilakukan melalui 30 run terukur (+ 2 run warm-up) pada skrip scripts/perf-bench.js. Model regresi kelayakan linier pureVerifyGas(k) = 7.800,04 + 251,26*k gas terkonfirmasi memenuhi batas anggaran kelayakan, dan kueri verifikasi publik via eth_call mengonsumsi 0 gas dengan latensi rata-rata sub-milidetik (0,82 s.d. 0,89 ms). Rekapitulasi lengkap metrik statistik benchmark 30 run dirangkum pada Lampiran E.</w:t>
      </w:r>
    </w:p>
    <w:p>
      <w:pPr>
        <w:pStyle w:val="Heading2"/>
        <w:keepNext/>
        <w:spacing w:before="60" w:after="40"/>
      </w:pPr>
      <w:r>
        <w:t>4.7 Keputusan Desain, Batasan Teknis, Pertimbangan Etika, dan Refleksi (P6)</w:t>
      </w:r>
    </w:p>
    <w:p>
      <w:pPr>
        <w:spacing w:before="20" w:after="50" w:line="276" w:lineRule="auto"/>
        <w:jc w:val="both"/>
      </w:pPr>
      <w:r>
        <w:rPr>
          <w:rFonts w:ascii="Calibri" w:hAnsi="Calibri"/>
          <w:sz w:val="19"/>
        </w:rPr>
        <w:t>Keputusan Desain &amp; Trade-Off: Tiga keputusan arsitektural utama yang ditetapkan dalam proyek ini melibatkan pertimbangan trade-off yang matang: (1) Penjangkaran Merkle Batching vs Penyimpanan Daun Individual On-Chain: Menyimpan setiap ijazah secara individual pada blockchain memerlukan operasi SSTORE terpisah (~20.000 gas per ijazah), yang akan menghabiskan lebih dari 20 juta gas untuk 1.000 lulusan (menyerap 33,3% dari batas blok 60 juta gas node lokal Hardhat atau 66,7% dari contoh hipotetis 30 juta gas konsorsium). Pendekatan Merkle batching mengompresi ribuan lulusan ke dalam 1 Merkle Root 32-byte [4] dengan gas konstan 164.911 gas (hemat &gt; 98%, hanya &lt; 0,36% dari batas blok 60 juta gas), dengan konsekuensi pemverifikasi harus menyertakan bukti jalur Merkle berukuran O(log N) [4]; (2) Arsitektur Zero-PII Off-Chain vs On-Chain Metadata: Melindungi privasi alumni sesuai Pasal 8 UU PDP [10], dengan konsekuensi kampus dan alumni bertanggung jawab menjaga ketersediaan file dokumen off-chain; (3) Konsorsium Permissioned vs Public Mainnet: Menghilangkan volatilitas gas fee dan risiko regulasi data terbuka, dengan komitmen pembentukan konsorsium legal antar-institusi.</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xml:space="preserve">• </w:t>
      </w:r>
      <w:r>
        <w:rPr>
          <w:rFonts w:ascii="Calibri" w:hAnsi="Calibri"/>
          <w:b/>
          <w:sz w:val="20"/>
        </w:rPr>
        <w:t xml:space="preserve">1. Lingkungan Node: </w:t>
      </w:r>
      <w:r>
        <w:rPr>
          <w:rFonts w:ascii="Calibri" w:hAnsi="Calibri"/>
          <w:sz w:val="20"/>
        </w:rPr>
        <w:t>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Data Uji: </w:t>
      </w:r>
      <w:r>
        <w:rPr>
          <w:rFonts w:ascii="Calibri" w:hAnsi="Calibri"/>
          <w:sz w:val="20"/>
        </w:rPr>
        <w:t>Data Sintetis Fiktif: Seluruh data mahasiswa (N=6, 100, 1.000) adalah data simulasi sintetis guna menjamin tidak adanya data pribadi riil yang terpapar selama proses riset.</w:t>
      </w:r>
    </w:p>
    <w:p>
      <w:pPr>
        <w:spacing w:before="10" w:after="30" w:line="269" w:lineRule="auto"/>
        <w:ind w:left="288"/>
        <w:jc w:val="both"/>
      </w:pPr>
      <w:r>
        <w:t>• 3. Perangkat Keras: Karakteristik Mesin Uji Tunggal: Durasi waktu pembangunan pohon off-chain diukur pada workstation pengembang (12th Gen Intel(R) Core(TM) i5-12450H 12 thread logis, RAM total 15 GiB, Ubuntu 24.04.4 LTS, Node.js v24.14.0). Variasi spesifikasi perangkat keras dapat menghasilkan variasi wall-clock time, meskipun konsumsi gas EVM deterministik 100%.</w:t>
      </w:r>
    </w:p>
    <w:p>
      <w:pPr>
        <w:spacing w:before="10" w:after="30" w:line="276" w:lineRule="auto"/>
        <w:ind w:left="288"/>
        <w:jc w:val="both"/>
      </w:pPr>
      <w:r>
        <w:rPr>
          <w:rFonts w:ascii="Calibri" w:hAnsi="Calibri"/>
          <w:sz w:val="19"/>
        </w:rPr>
        <w:t>• 4. Simulasi Gas: 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 [2].</w:t>
      </w:r>
    </w:p>
    <w:p>
      <w:pPr>
        <w:spacing w:before="10" w:after="30" w:line="269" w:lineRule="auto"/>
        <w:ind w:left="288"/>
        <w:jc w:val="both"/>
      </w:pPr>
      <w:r>
        <w:rPr>
          <w:rFonts w:ascii="Calibri" w:hAnsi="Calibri"/>
          <w:b/>
          <w:sz w:val="20"/>
        </w:rPr>
        <w:t xml:space="preserve">• </w:t>
      </w:r>
      <w:r>
        <w:rPr>
          <w:rFonts w:ascii="Calibri" w:hAnsi="Calibri"/>
          <w:b/>
          <w:sz w:val="20"/>
        </w:rPr>
        <w:t xml:space="preserve">5. Slot Storage URI: </w:t>
      </w:r>
      <w:r>
        <w:rPr>
          <w:rFonts w:ascii="Calibri" w:hAnsi="Calibri"/>
          <w:sz w:val="20"/>
        </w:rPr>
        <w:t>Alokasi Slot Storage metadataURI: Gas eksekusi transaksi issueBatch terbukti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rPr>
          <w:rFonts w:ascii="Calibri" w:hAnsi="Calibri"/>
          <w:sz w:val="20"/>
        </w:rPr>
        <w:t>• 6. Batas Gas Blok: Parameter Node Lokal Hardhat vs Hipotesis Konsorsium: Pengukuran aktual pada node lokal Hardhat melalui RPC eth_getBlockByNumber menghasilkan blockGasLimit sebesar 60.000.000 gas (heksadesimal 3938700). Angka 30.000.000 gas dijadikan contoh hipotetis jaringan konsorsium untuk simulasi kapasitas blok. Penjangkaran individual 1.000 ijazah (~20 juta gas) akan menyerap sepertiga (33,3%) dari batas blok 60 juta gas atau dua pertiga (66,7%) dari contoh hipotetis 30 juta gas, sedangkan skema Merkle batching pada prototipe ini hanya memerlukan 211.084 gas (&lt; 0,36% dari batas blok 60 juta gas).</w:t>
      </w:r>
    </w:p>
    <w:p>
      <w:pPr>
        <w:spacing w:before="10" w:after="30" w:line="269" w:lineRule="auto"/>
        <w:ind w:left="288"/>
        <w:jc w:val="both"/>
      </w:pPr>
      <w:r>
        <w:t>• 7. Pembulatan Calldata: Efek Pembulatan Rata-Rata Calldata (83 vs 84 gas): Selisih rata-rata calldata ~83,6 gas vs 84 gas transaksi nominal merupakan efek pembulatan statistik digit nomor iterasi batchId (lihat rincian Subbab 4.4).</w:t>
      </w:r>
    </w:p>
    <w:p>
      <w:pPr>
        <w:spacing w:before="20" w:after="20" w:line="252" w:lineRule="auto"/>
      </w:pPr>
      <w:r>
        <w:rPr>
          <w:rFonts w:ascii="Arial" w:hAnsi="Arial"/>
          <w:color w:val="1F2937"/>
          <w:sz w:val="17"/>
        </w:rPr>
        <w:t>• 8. Analisis Selisih Gas Pencabutan B-06: Pada skrip demo, revokeCredential mengonsumsi 56.359 gas [B-06], sedangkan pada benchmark berkisar 55.297 s.d. 55.333 gas. Pengujian isolasi variabel tunggal (exp_b06_v2) mengonfirmasi selisih ini terbagi menjadi dua faktor terukur: (1) Perbedaan calldata EIP-2028 akibat panjang string reason (60 byte pada demo vs 11 byte 'Sidang Etik' pada benchmark) serta perbedaan byte non-nol batchId; (2) Selisih 262 gas yang terkonfirmasi melompat di batas 32 byte parameter reason pada data event CredentialRevoked (1 word data log = 256 gas ditambah 6 gas ekspansi memori). Komponen di luar kedua faktor teruji tersebut dinyatakan belum dijelaskan.</w:t>
      </w:r>
    </w:p>
    <w:p>
      <w:pPr>
        <w:spacing w:before="20" w:after="50" w:line="276" w:lineRule="auto"/>
        <w:jc w:val="both"/>
      </w:pPr>
      <w:r>
        <w:t>Pertimbangan Etika, Regulasi, &amp; Roadmap: Implementasi sistem ini menegakkan prinsip keadilan sosial dan non-diskriminasi. Biaya verifikasi yang ditetapkan 0 gas dirancang agar lulusan dari keluarga prasejahtera dan instansi UMKM/pemberi kerja lokal dapat memverifikasi keabsahan dokumen tanpa hambatan finansial [2]. Secara regulasi, desain arsitektur sistem dirancang selaras dengan prinsip keterverifikasian dokumen akademik pada Peraturan Menteri Pendidikan, Kebudayaan, Riset, dan Teknologi No. 6 Tahun 2022 tentang Ijazah, Sertifikat Kompetensi, Sertifikat Profesi, Gelar, dan Kesetaraan Ijazah Perguruan Tinggi Negara Lain (Berita Negara Republik Indonesia Tahun 2022 Nomor 167) [13], serta dirancang selaras dengan perlindungan privasi di bawah UU No. 27 Tahun 2022 (UU PDP) [10]. Roadmap pengembangan masa depan mencakup integrasi skema W3C Bitstring Status List v1.0 [8] untuk kompresi pencabutan tingkat lanjut dan penerapan Zero-Knowledge Proofs (BBS+ Signatures) untuk Selective Disclosure (misal membuktikan 'IPK &gt;= 3.50' tanpa membuka angka IPK eksak).</w:t>
      </w:r>
    </w:p>
    <w:p>
      <w:pPr>
        <w:spacing w:before="20" w:after="50" w:line="276" w:lineRule="auto"/>
        <w:jc w:val="both"/>
      </w:pPr>
      <w:r>
        <w:t>Refleksi Individual Penulis (Fajar Geran Arifin / 237006079): Sebagai mahasiswa penyusun, proses pengerjaan mini-project ini memberikan pemahaman mendalam bahwa teknologi blockchain bukanlah obat mujarab (panacea) untuk segala masalah pencatatan data. Keputusan rekayasa perangkat lunak yang matang justru terletak pada ketajaman membedakan kapan blockchain mutlak dibutuhkan (penjangkaran integritas antar-entitas, ketahanan terhadap insider threat) dan kapan basis data konvensional tetap lebih unggul (transaksional harian bervolume tinggi). Pelajaran paling berharga diperoleh saat menelusuri selisih gas eksekusi issueBatch: kesadaran bahwa gas eksekusi murni smart contract benar-benar konstan O(1) (164.911 gas) dan selisih 84 gas secara deterministik berasal dari biaya intrinsik calldata EIP-2028 [11] memperkuat pemahaman penulis mengenai arsitektur internal Ethereum Virtual Machine secara mendalam dan berbasis bukti nyata.</w:t>
      </w:r>
    </w:p>
    <w:p>
      <w:pPr>
        <w:pStyle w:val="Heading1"/>
        <w:keepNext/>
        <w:spacing w:before="60" w:after="40"/>
      </w:pPr>
      <w:r>
        <w:rPr>
          <w:rFonts w:ascii="Calibri" w:hAnsi="Calibri"/>
          <w:b/>
          <w:color w:val="1B365D"/>
          <w:sz w:val="24"/>
        </w:rPr>
        <w:t>5 Kesimpulan dan Saran</w:t>
      </w:r>
    </w:p>
    <w:p>
      <w:pPr>
        <w:pStyle w:val="Heading2"/>
        <w:keepNext/>
        <w:spacing w:before="60" w:after="40"/>
      </w:pPr>
      <w:r>
        <w:rPr>
          <w:rFonts w:ascii="Calibri" w:hAnsi="Calibri"/>
          <w:b/>
          <w:color w:val="2C3E50"/>
          <w:sz w:val="21"/>
        </w:rPr>
        <w:t>5.1 Kesimpulan</w:t>
      </w:r>
    </w:p>
    <w:p>
      <w:pPr>
        <w:spacing w:before="20" w:after="50" w:line="269" w:lineRule="auto"/>
        <w:jc w:val="both"/>
      </w:pPr>
      <w:r>
        <w:rPr>
          <w:rFonts w:ascii="Calibri" w:hAnsi="Calibri"/>
          <w:sz w:val="20"/>
        </w:rPr>
        <w:t>Berdasarkan hasil perancangan arsitektur, implementasi smart contract, pengujian fungsional, dan evaluasi performa pada proyek ini, diperoleh kesimpulan formal sebagai berikut:</w:t>
      </w:r>
    </w:p>
    <w:p>
      <w:pPr>
        <w:spacing w:before="10" w:after="30" w:line="269" w:lineRule="auto"/>
        <w:ind w:left="288"/>
        <w:jc w:val="both"/>
      </w:pPr>
      <w:r>
        <w:t>• 1. Kelayakan Arsitektur: Sistem verifikasi kredensial akademik berbasis blockchain konsorsium permissioned (Hyperledger Besu / EVM) dan pohon Merkle pada lingkungan uji ini menunjukkan kelayakan teknis (feasible), keandalan kontrol akses, dan skalabilitas yang tinggi untuk menyelesaikan masalah pemalsuan dokumen dan ketergantungan server terpusat.</w:t>
      </w:r>
    </w:p>
    <w:p>
      <w:pPr>
        <w:spacing w:before="10" w:after="30" w:line="276" w:lineRule="auto"/>
        <w:ind w:left="288"/>
        <w:jc w:val="both"/>
      </w:pPr>
      <w:r>
        <w:rPr>
          <w:rFonts w:ascii="Arial" w:hAnsi="Arial"/>
          <w:sz w:val="17"/>
        </w:rPr>
        <w:t>• 2. Perlindungan Privasi: Arsitektur Zero-PII On-Chain yang memisahkan dokumen lengkap off-chain bergaram (256-bit salt) dari Merkle root on-chain [4] dirancang selaras dengan prinsip pelindungan data pribadi UU No. 27 Tahun 2022 (UU PDP) [10], meliputi perlindungan klasifikasi data pribadi umum (Pasal 4 ayat (3)), pemenuhan hak penghapusan data pribadi (Pasal 8 dan Pasal 43 ayat (1)), serta hak penarikan persetujuan (Pasal 9), sekaligus mengeliminasi ancaman serangan kamus terhadap atribut bernilai rendah.</w:t>
      </w:r>
    </w:p>
    <w:p>
      <w:pPr>
        <w:spacing w:before="10" w:after="30" w:line="276" w:lineRule="auto"/>
        <w:ind w:left="288"/>
        <w:jc w:val="both"/>
      </w:pPr>
      <w:r>
        <w:t>• 3. Skalabilitas O(1): Efisiensi gas eksekusi penjangkaran batch wisuda terbukti konstan secara eksak sebesar 164.911 gas (deviasi 0,0000%, true O(1)) untuk N=6, 100, hingga 1.000 lulusan. Selisih 84 gas pada tanda terima transaksi (receipt) dapat dijelaskan secara terukur bersumber dari penambahan panjang parameter calldata ABI transaksi sesuai aturan EIP-2028 [11].</w:t>
      </w:r>
    </w:p>
    <w:p>
      <w:pPr>
        <w:spacing w:before="10" w:after="30" w:line="276" w:lineRule="auto"/>
        <w:ind w:left="288"/>
        <w:jc w:val="both"/>
      </w:pPr>
      <w:r>
        <w:rPr>
          <w:rFonts w:ascii="Calibri" w:hAnsi="Calibri"/>
          <w:sz w:val="19"/>
        </w:rPr>
        <w:t>• 4. Akses Verifikasi Gratis: Layanan verifikasi dokumen oleh masyarakat dan dunia industri dapat diakses secara instan (&lt; 1 ms latensi kueri) dan bebas biaya (0 gas) melalui antarmuka JSON-RPC eth_call [2], dengan ukuran bukti pembuktian logaritmik O(log N) [4] yang sangat hemat bandwidth.</w:t>
      </w:r>
    </w:p>
    <w:p>
      <w:pPr>
        <w:spacing w:before="10" w:after="30" w:line="269" w:lineRule="auto"/>
        <w:ind w:left="288"/>
        <w:jc w:val="both"/>
      </w:pPr>
      <w:r>
        <w:t>• 5. Keamanan &amp; Mitigasi: Pada lingkungan uji ini, mekanisme keamanan smart contract menunjukkan ketahanan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60" w:after="40"/>
      </w:pPr>
      <w:r>
        <w:rPr>
          <w:rFonts w:ascii="Calibri" w:hAnsi="Calibri"/>
          <w:b/>
          <w:color w:val="2C3E50"/>
          <w:sz w:val="21"/>
        </w:rPr>
        <w:t>5.2 Saran Tindak Lanjut</w:t>
      </w:r>
    </w:p>
    <w:p>
      <w:pPr>
        <w:spacing w:before="10" w:after="30" w:line="269" w:lineRule="auto"/>
        <w:ind w:left="288"/>
        <w:jc w:val="both"/>
      </w:pPr>
      <w:r>
        <w:rPr>
          <w:rFonts w:ascii="Calibri" w:hAnsi="Calibri"/>
          <w:b/>
          <w:sz w:val="20"/>
        </w:rPr>
        <w:t xml:space="preserve">• </w:t>
      </w:r>
      <w:r>
        <w:rPr>
          <w:rFonts w:ascii="Calibri" w:hAnsi="Calibri"/>
          <w:b/>
          <w:sz w:val="20"/>
        </w:rPr>
        <w:t xml:space="preserve">1. Implementasi Konsorsium: </w:t>
      </w:r>
      <w:r>
        <w:rPr>
          <w:rFonts w:ascii="Calibri" w:hAnsi="Calibri"/>
          <w:sz w:val="20"/>
        </w:rPr>
        <w:t>Mendorong pembentukan konsorsium resmi tingkat universitas atau LLDIKTI untuk melakukan uji coba rintisan (pilot project) multi-node nyata menggunakan Hyperledger Besu multi-validator di lingkungan jaringan fisik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Pengembangan Antarmuka: </w:t>
      </w:r>
      <w:r>
        <w:rPr>
          <w:rFonts w:ascii="Calibri" w:hAnsi="Calibri"/>
          <w:sz w:val="20"/>
        </w:rPr>
        <w:t>Mengembangkan aplikasi antarmuka dompet kredensial (credential wallet) mobile yang ramah pengguna bagi mahasiswa berbasis standar W3C VC dan Open Badges v3.0.</w:t>
      </w:r>
    </w:p>
    <w:p>
      <w:pPr>
        <w:spacing w:before="10" w:after="30" w:line="269" w:lineRule="auto"/>
        <w:ind w:left="288"/>
        <w:jc w:val="both"/>
      </w:pPr>
      <w:r>
        <w:rPr>
          <w:rFonts w:ascii="Calibri" w:hAnsi="Calibri"/>
          <w:b/>
          <w:sz w:val="20"/>
        </w:rPr>
        <w:t xml:space="preserve">• </w:t>
      </w:r>
      <w:r>
        <w:rPr>
          <w:rFonts w:ascii="Calibri" w:hAnsi="Calibri"/>
          <w:b/>
          <w:sz w:val="20"/>
        </w:rPr>
        <w:t xml:space="preserve">3. Riset Lanjutan ZKP: </w:t>
      </w:r>
      <w:r>
        <w:rPr>
          <w:rFonts w:ascii="Calibri" w:hAnsi="Calibri"/>
          <w:sz w:val="20"/>
        </w:rPr>
        <w:t>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pageBreakBefore/>
        <w:spacing w:before="0" w:after="40"/>
      </w:pPr>
      <w:r>
        <w:rPr>
          <w:rFonts w:ascii="Calibri" w:hAnsi="Calibri"/>
          <w:b/>
          <w:color w:val="1B365D"/>
          <w:sz w:val="24"/>
        </w:rPr>
        <w:t>Daftar Pustaka</w:t>
      </w:r>
    </w:p>
    <w:p>
      <w:pPr>
        <w:spacing w:before="0" w:after="40" w:line="252" w:lineRule="auto"/>
        <w:ind w:left="360" w:hanging="360"/>
        <w:jc w:val="both"/>
      </w:pPr>
      <w:r>
        <w:rPr>
          <w:rFonts w:ascii="Calibri" w:hAnsi="Calibri"/>
          <w:sz w:val="17"/>
        </w:rPr>
        <w:t>[1] W3C, "Verifiable Credentials Data Model v2.0," W3C Recommendation, 15 Mei 2025. [Daring]. Tersedia: https://www.w3.org/TR/vc-data-model-2.0/. [Diakses: 4 Oktober 2026].</w:t>
      </w:r>
    </w:p>
    <w:p>
      <w:pPr>
        <w:spacing w:before="0" w:after="40" w:line="252" w:lineRule="auto"/>
        <w:ind w:left="360" w:hanging="360"/>
        <w:jc w:val="both"/>
      </w:pPr>
      <w:r>
        <w:rPr>
          <w:rFonts w:ascii="Calibri" w:hAnsi="Calibri"/>
          <w:sz w:val="17"/>
        </w:rPr>
        <w:t>[2] Ethereum Foundation, "Ethereum Developer Documentation: JSON-RPC API (eth_call Method)," 2024. [Daring]. Tersedia: https://ethereum.org/en/developers/docs/apis/json-rpc/#eth_call. [Diakses: 4 Oktober 2026].</w:t>
      </w:r>
    </w:p>
    <w:p>
      <w:pPr>
        <w:spacing w:before="0" w:after="40" w:line="252" w:lineRule="auto"/>
        <w:ind w:left="360" w:hanging="360"/>
        <w:jc w:val="both"/>
      </w:pPr>
      <w:r>
        <w:rPr>
          <w:rFonts w:ascii="Calibri" w:hAnsi="Calibri"/>
          <w:sz w:val="17"/>
        </w:rPr>
        <w:t>[3] OpenZeppelin, "OpenZeppelin Contracts v5.x Documentation: AccessControl and Pausable Architecture," 2024. [Daring]. Tersedia: https://docs.openzeppelin.com/contracts/5.x/. [Diakses: 4 Oktober 2026].</w:t>
      </w:r>
    </w:p>
    <w:p>
      <w:pPr>
        <w:spacing w:before="0" w:after="40" w:line="252" w:lineRule="auto"/>
        <w:ind w:left="360" w:hanging="360"/>
        <w:jc w:val="both"/>
      </w:pPr>
      <w:r>
        <w:rPr>
          <w:rFonts w:ascii="Calibri" w:hAnsi="Calibri"/>
          <w:sz w:val="17"/>
        </w:rPr>
        <w:t>[4] R. C. Merkle, "Method of providing digital signatures," U.S. Patent 4,309,569, 5 Jan. 1982. Pemegang: The Board of Trustees of the Leland Stanford Junior University.</w:t>
      </w:r>
    </w:p>
    <w:p>
      <w:pPr>
        <w:spacing w:before="0" w:after="40" w:line="252" w:lineRule="auto"/>
        <w:ind w:left="360" w:hanging="360"/>
        <w:jc w:val="both"/>
      </w:pPr>
      <w:r>
        <w:rPr>
          <w:rFonts w:ascii="Calibri" w:hAnsi="Calibri"/>
          <w:sz w:val="17"/>
        </w:rPr>
        <w:t>[5] J. H. Saltzer dan M. D. Schroeder, "The Protection of Information in Computer Systems," Proceedings of the IEEE, vol. 63, no. 9, hal. 1278–1308, Sep. 1975. Salinan daring resmi: https://web.mit.edu/Saltzer/www/publications/protection/. [Diakses: 4 Oktober 2026].</w:t>
      </w:r>
    </w:p>
    <w:p>
      <w:pPr>
        <w:spacing w:before="0" w:after="40" w:line="252" w:lineRule="auto"/>
        <w:ind w:left="360" w:hanging="360"/>
        <w:jc w:val="both"/>
      </w:pPr>
      <w:r>
        <w:rPr>
          <w:rFonts w:ascii="Calibri" w:hAnsi="Calibri"/>
          <w:sz w:val="17"/>
        </w:rPr>
        <w:t>[6] G. Bertoni, J. Daemen, M. Peeters, dan G. Van Assche, "The Keccak reference," Versi 3.0, Jan. 2011. [Daring]. Tersedia: https://keccak.team/files/Keccak-reference-3.0.pdf. [Diakses: 4 Oktober 2026].</w:t>
      </w:r>
    </w:p>
    <w:p>
      <w:pPr>
        <w:spacing w:before="0" w:after="40" w:line="252" w:lineRule="auto"/>
        <w:ind w:left="360" w:hanging="360"/>
        <w:jc w:val="both"/>
      </w:pPr>
      <w:r>
        <w:rPr>
          <w:rFonts w:ascii="Calibri" w:hAnsi="Calibri"/>
          <w:sz w:val="17"/>
        </w:rPr>
        <w:t>[7] J. Nielsen, "Response Times: The 3 Important Limits," Nielsen Norman Group, Jan. 1993. [Daring]. Tersedia: https://www.nngroup.com/articles/response-times-3-important-limits/. [Diakses: 4 Oktober 2026].</w:t>
      </w:r>
    </w:p>
    <w:p>
      <w:pPr>
        <w:spacing w:before="0" w:after="40" w:line="252" w:lineRule="auto"/>
        <w:ind w:left="360" w:hanging="360"/>
        <w:jc w:val="both"/>
      </w:pPr>
      <w:r>
        <w:rPr>
          <w:rFonts w:ascii="Calibri" w:hAnsi="Calibri"/>
          <w:sz w:val="17"/>
        </w:rPr>
        <w:t>[8] W3C, "Bitstring Status List v1.0: Privacy-preserving status information for Verifiable Credentials," W3C Recommendation, 15 Mei 2025. [Daring]. Tersedia: https://www.w3.org/TR/vc-bitstring-status-list/. [Diakses: 4 Oktober 2026].</w:t>
      </w:r>
    </w:p>
    <w:p>
      <w:pPr>
        <w:spacing w:before="0" w:after="40" w:line="252" w:lineRule="auto"/>
        <w:ind w:left="360" w:hanging="360"/>
        <w:jc w:val="both"/>
      </w:pPr>
      <w:r>
        <w:rPr>
          <w:rFonts w:ascii="Calibri" w:hAnsi="Calibri"/>
          <w:sz w:val="17"/>
        </w:rPr>
        <w:t>[9] A. Rundgren, B. Jordan, dan S. Erdtman, "JSON Canonicalization Scheme (JCS)," RFC 8785, Internet Engineering Task Force (IETF), Jun. 2020. [Daring]. Tersedia: https://www.rfc-editor.org/rfc/rfc8785.pdf. [Diakses: 4 Oktober 2026].</w:t>
      </w:r>
    </w:p>
    <w:p>
      <w:pPr>
        <w:spacing w:before="0" w:after="40" w:line="252" w:lineRule="auto"/>
        <w:ind w:left="360" w:hanging="360"/>
        <w:jc w:val="both"/>
      </w:pPr>
      <w:r>
        <w:rPr>
          <w:rFonts w:ascii="Calibri" w:hAnsi="Calibri"/>
          <w:sz w:val="17"/>
        </w:rPr>
        <w:t>[10] Republik Indonesia, Undang-Undang Republik Indonesia Nomor 27 Tahun 2022 tentang Pelindungan Data Pribadi (UU PDP), Lembaran Negara Republik Indonesia Tahun 2022 Nomor 196, Tambahan Lembaran Negara Nomor 6820, Jakarta, Okt. 2022. [Daring]. Tersedia: https://peraturan.bpk.go.id/Details/229798/uu-no-27-tahun-2022. [Diakses: 5 Oktober 2026].</w:t>
      </w:r>
    </w:p>
    <w:p>
      <w:pPr>
        <w:spacing w:before="0" w:after="40" w:line="252" w:lineRule="auto"/>
        <w:ind w:left="360" w:hanging="360"/>
        <w:jc w:val="both"/>
      </w:pPr>
      <w:r>
        <w:rPr>
          <w:rFonts w:ascii="Calibri" w:hAnsi="Calibri"/>
          <w:sz w:val="17"/>
        </w:rPr>
        <w:t>[11] A. Akhunov, E. B. Sasson, T. Brand, L. Guthmann, dan A. Levy, "EIP-2028: Transaction data gas cost reduction," Ethereum Improvement Proposals, Mei 2019. [Daring]. Tersedia: https://eips.ethereum.org/EIPS/eip-2028. [Diakses: 4 Oktober 2026].</w:t>
      </w:r>
    </w:p>
    <w:p>
      <w:pPr>
        <w:spacing w:before="0" w:after="40" w:line="252" w:lineRule="auto"/>
        <w:ind w:left="360" w:hanging="360"/>
      </w:pPr>
      <w:r>
        <w:rPr>
          <w:rFonts w:ascii="Calibri" w:hAnsi="Calibri"/>
          <w:sz w:val="17"/>
        </w:rPr>
        <w:t>[12] National Institute of Standards and Technology (NIST), "SHA-3 Standard: Permutation-Based Hash and Extendable-Output Functions," Federal Information Processing Standards (FIPS) Publication 202, Agu. 2015. [Daring]. Tersedia: https://nvlpubs.nist.gov/nistpubs/FIPS/NIST.FIPS.202.pdf. [Diakses: 4 Oktober 2026].</w:t>
      </w:r>
    </w:p>
    <w:p>
      <w:pPr>
        <w:spacing w:before="60" w:after="60"/>
      </w:pPr>
      <w:r>
        <w:rPr>
          <w:rFonts w:ascii="Arial" w:hAnsi="Arial"/>
          <w:sz w:val="17"/>
        </w:rPr>
        <w:t>[13] Kementerian Pendidikan, Kebudayaan, Riset, dan Teknologi Republik Indonesia, "Peraturan Menteri Pendidikan, Kebudayaan, Riset, dan Teknologi Republik Indonesia Nomor 6 Tahun 2022 tentang Ijazah, Sertifikat Kompetensi, Sertifikat Profesi, Gelar, dan Kesetaraan Ijazah Perguruan Tinggi Negara Lain," Berita Negara Republik Indonesia Tahun 2022 Nomor 167, Jakarta, Feb. 2022. [Daring]. Tersedia: https://peraturan.go.id/id/permendikbudristek-no-6-tahun-2022. [Diakses: 4 Oktober 2026].</w:t>
      </w:r>
    </w:p>
    <w:p>
      <w:pPr>
        <w:spacing w:before="60" w:after="40" w:line="276" w:lineRule="auto"/>
      </w:pPr>
      <w:r>
        <w:rPr>
          <w:rFonts w:ascii="Times New Roman" w:hAnsi="Times New Roman"/>
          <w:b/>
          <w:i w:val="0"/>
          <w:color w:val="000000"/>
          <w:sz w:val="24"/>
        </w:rPr>
        <w:t>Lampiran A: Pengungkapan Penggunaan Alat Bantu AI Transparan</w:t>
      </w:r>
    </w:p>
    <w:p>
      <w:pPr>
        <w:spacing w:before="0" w:after="60" w:line="276" w:lineRule="auto"/>
      </w:pPr>
      <w:r>
        <w:rPr>
          <w:rFonts w:ascii="Times New Roman" w:hAnsi="Times New Roman"/>
          <w:b w:val="0"/>
          <w:i w:val="0"/>
          <w:sz w:val="20"/>
        </w:rPr>
        <w:t>Sesuai panduan etika akademik perguruan tinggi dan ketentuan naskah ujian OBE, penggunaan asisten kecerdasan artifisial (AI) dalam penyusunan tugas ini diungkapkan secara transparan sebagai berikut:</w:t>
      </w:r>
    </w:p>
    <w:p>
      <w:pPr>
        <w:spacing w:before="0" w:after="60" w:line="276" w:lineRule="auto"/>
      </w:pPr>
      <w:r>
        <w:rPr>
          <w:rFonts w:ascii="Times New Roman" w:hAnsi="Times New Roman"/>
          <w:b w:val="0"/>
          <w:i w:val="0"/>
          <w:sz w:val="20"/>
        </w:rPr>
        <w:t>• 1. Claude (Anthropic): Digunakan pada Fase Eksplorasi &amp; Desain Arsitektur (Fase 1) untuk melakukan brainstorming perbandingan arsitektur konsorsium versus public blockchain, serta perumusan awal model ancaman STRIDE.</w:t>
      </w:r>
    </w:p>
    <w:p>
      <w:pPr>
        <w:spacing w:before="0" w:after="60" w:line="276" w:lineRule="auto"/>
      </w:pPr>
      <w:r>
        <w:rPr>
          <w:rFonts w:ascii="Times New Roman" w:hAnsi="Times New Roman"/>
          <w:b w:val="0"/>
          <w:i w:val="0"/>
          <w:sz w:val="20"/>
        </w:rPr>
        <w:t>• 2. Google Antigravity Agent: Digunakan pada Fase Rekayasa Prototipe &amp; Verifikasi Eksperimental (Fase 2, 2b, dan 3) untuk otomatisasi eksekusi unit test Hardhat, komputasi biaya calldata EIP-2028, eksekusi benchmark performa 30 run, penyusunan model regresi linier, pembangkitan diagram Graphviz, serta formatting berkas laporan akhir.</w:t>
      </w:r>
    </w:p>
    <w:p>
      <w:pPr>
        <w:spacing w:before="0" w:after="40" w:line="276" w:lineRule="auto"/>
      </w:pPr>
      <w:r>
        <w:rPr>
          <w:rFonts w:ascii="Times New Roman" w:hAnsi="Times New Roman"/>
          <w:b w:val="0"/>
          <w:i w:val="0"/>
          <w:sz w:val="20"/>
        </w:rPr>
        <w:t>• 3. Tanggung Jawab Penulis: Seluruh logika smart contract, angka konsumsi gas, hasil verifikasi tamper-evident, serta analisis kritis pada dokumen ini telah divalidasi, dieksekusi secara nyata di lingkungan komputasi lokal, dan diverifikasi kebenarannya oleh penulis.</w:t>
      </w:r>
    </w:p>
    <w:p>
      <w:pPr>
        <w:spacing w:before="0" w:after="0"/>
      </w:pPr>
      <w:r>
        <w:br w:type="page"/>
      </w:r>
    </w:p>
    <w:p>
      <w:pPr>
        <w:spacing w:before="60" w:after="40" w:line="276" w:lineRule="auto"/>
      </w:pPr>
      <w:r>
        <w:rPr>
          <w:rFonts w:ascii="Times New Roman" w:hAnsi="Times New Roman"/>
          <w:b/>
          <w:i w:val="0"/>
          <w:color w:val="000000"/>
          <w:sz w:val="24"/>
        </w:rPr>
        <w:t>Lampiran B: Keluaran Eksekusi Prototipe (Bukti B-05: Pengujian Anti-Tampering dan Kontrol Akses RBAC)</w:t>
      </w:r>
    </w:p>
    <w:p>
      <w:pPr>
        <w:spacing w:before="0" w:after="40" w:line="276" w:lineRule="auto"/>
      </w:pPr>
      <w:r>
        <w:rPr>
          <w:rFonts w:ascii="Times New Roman" w:hAnsi="Times New Roman"/>
          <w:b w:val="0"/>
          <w:i w:val="0"/>
          <w:sz w:val="20"/>
        </w:rPr>
        <w:t>Kutipan teks log mentah keluaran eksekusi terminal Hardhat secara langsung dari berkas results/demo-output.txt (skenario B-05 baris 47–57) yang memvalidasi penolakan manipulasi klaim data IPK dan pencegatan eksekusi oleh pihak tanpa peran ISSUER_ROLE (dengan penandaan pemotongan string [dipotong] pada argumen eksepsi kontrol akses konsol):</w:t>
      </w:r>
    </w:p>
    <w:p>
      <w:pPr>
        <w:spacing w:before="40" w:after="40" w:line="252" w:lineRule="auto"/>
      </w:pPr>
      <w:r>
        <w:rPr>
          <w:rFonts w:ascii="Consolas" w:hAnsi="Consolas"/>
          <w:sz w:val="14"/>
        </w:rPr>
        <w:t>[B-05 Uji Ketahanan Manipulasi Data dan Kontrol Akses RBAC]</w:t>
        <w:br/>
        <w:t>Skenario 5A: Pelamar mengubah IPK 3.82 menjadi 4.00 pada berkas lokal</w:t>
        <w:br/>
        <w:t>Leaf Asli            : 0x7b5f7365dffd18a87fb7b5471e7843da27e53b4ec53e8e1ef064b78ab3b0645c</w:t>
        <w:br/>
        <w:t>Leaf Hasil Manipulasi: 0x0b097c59bcd2b3d0b5cba350b03cea87b34b4294eba79c5d5cf2f0a548d04f97</w:t>
        <w:br/>
        <w:t>Hasil Verifikasi     : DITOLAK / INVALID (FALSE)</w:t>
        <w:br/>
        <w:t>Pesan Status Kontrak : INVALID_PROOF_OR_TAMPERED</w:t>
        <w:br/>
        <w:br/>
        <w:t>Skenario 5B: Upaya penerbitan batch oleh penyerang tanpa hak (Attacker)</w:t>
        <w:br/>
        <w:t>Hasil Pencegatan RBAC: Transaksi Dibatalkan (Reverted)</w:t>
        <w:br/>
        <w:t>Eksepsi Kontrak      : VM Exception while processing transaction: reverted with custom error 'AccessControlUnauthorizedAccount [dipotong]</w:t>
      </w:r>
    </w:p>
    <w:p>
      <w:pPr>
        <w:spacing w:before="0" w:after="0"/>
      </w:pPr>
      <w:r>
        <w:br w:type="page"/>
      </w:r>
    </w:p>
    <w:p>
      <w:pPr>
        <w:spacing w:before="60" w:after="40" w:line="276" w:lineRule="auto"/>
      </w:pPr>
      <w:r>
        <w:rPr>
          <w:rFonts w:ascii="Times New Roman" w:hAnsi="Times New Roman"/>
          <w:b/>
          <w:i w:val="0"/>
          <w:color w:val="000000"/>
          <w:sz w:val="24"/>
        </w:rPr>
        <w:t>Lampiran C: Pernyataan Orisinalitas</w:t>
      </w:r>
    </w:p>
    <w:p>
      <w:pPr>
        <w:spacing w:before="0" w:after="40" w:line="276" w:lineRule="auto"/>
      </w:pPr>
      <w:r>
        <w:rPr>
          <w:rFonts w:ascii="Times New Roman" w:hAnsi="Times New Roman"/>
          <w:b w:val="0"/>
          <w:i w:val="0"/>
          <w:sz w:val="20"/>
        </w:rPr>
        <w:t>Saya menyatakan bahwa jawaban ujian dan mini-project ini merupakan hasil kerja saya sendiri. Seluruh sumber dan penggunaan alat bantu telah saya ungkapkan secara jujur sesuai ketentuan mata kuliah.</w:t>
      </w:r>
    </w:p>
    <w:tbl>
      <w:tblPr>
        <w:tblW w:type="auto" w:w="0"/>
        <w:jc w:val="center"/>
        <w:tblLook w:firstColumn="1" w:firstRow="1" w:lastColumn="0" w:lastRow="0" w:noHBand="0" w:noVBand="1" w:val="04A0"/>
      </w:tblPr>
      <w:tblGrid>
        <w:gridCol w:w="2409"/>
        <w:gridCol w:w="2409"/>
        <w:gridCol w:w="2409"/>
        <w:gridCol w:w="2409"/>
      </w:tblGrid>
      <w:tr>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Nama</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NIM</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Tanggal</w:t>
            </w:r>
          </w:p>
        </w:tc>
        <w:tc>
          <w:tcPr>
            <w:tcW w:type="dxa" w:w="3398"/>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Tanda Tangan</w:t>
            </w:r>
          </w:p>
        </w:tc>
      </w:tr>
      <w:tr>
        <w:trPr>
          <w:trHeight w:val="2550" w:hRule="atLeas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Fajar Geran Arifin</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237006079</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4 Oktober 2026</w:t>
            </w:r>
          </w:p>
        </w:tc>
        <w:tc>
          <w:tcPr>
            <w:tcW w:type="dxa" w:w="3398"/>
            <w:vAlign w:val="center"/>
            <w:tcMar>
              <w:top w:w="40" w:type="dxa"/>
              <w:bottom w:w="40" w:type="dxa"/>
              <w:left w:w="40" w:type="dxa"/>
              <w:right w:w="40" w:type="dxa"/>
            </w:tcMar>
            <w:tcBorders>
              <w:top w:val="single" w:sz="6" w:space="0" w:color="000000"/>
              <w:left w:val="single" w:sz="6" w:space="0" w:color="000000"/>
              <w:bottom w:val="single" w:sz="6" w:space="0" w:color="000000"/>
              <w:right w:val="single" w:sz="6" w:space="0" w:color="000000"/>
            </w:tcBorders>
          </w:tcPr>
          <w:p>
            <w:pPr>
              <w:spacing w:before="0" w:after="0" w:line="240" w:lineRule="auto"/>
              <w:jc w:val="center"/>
            </w:pPr>
            <w:r/>
            <w:r>
              <w:drawing>
                <wp:inline xmlns:a="http://schemas.openxmlformats.org/drawingml/2006/main" xmlns:pic="http://schemas.openxmlformats.org/drawingml/2006/picture">
                  <wp:extent cx="1368000" cy="1520245"/>
                  <wp:docPr id="4" name="Picture 4"/>
                  <wp:cNvGraphicFramePr>
                    <a:graphicFrameLocks noChangeAspect="1"/>
                  </wp:cNvGraphicFramePr>
                  <a:graphic>
                    <a:graphicData uri="http://schemas.openxmlformats.org/drawingml/2006/picture">
                      <pic:pic>
                        <pic:nvPicPr>
                          <pic:cNvPr id="0" name="ttd_penulis.png"/>
                          <pic:cNvPicPr/>
                        </pic:nvPicPr>
                        <pic:blipFill>
                          <a:blip r:embed="rId14"/>
                          <a:stretch>
                            <a:fillRect/>
                          </a:stretch>
                        </pic:blipFill>
                        <pic:spPr>
                          <a:xfrm>
                            <a:off x="0" y="0"/>
                            <a:ext cx="1368000" cy="1520245"/>
                          </a:xfrm>
                          <a:prstGeom prst="rect"/>
                        </pic:spPr>
                      </pic:pic>
                    </a:graphicData>
                  </a:graphic>
                </wp:inline>
              </w:drawing>
            </w:r>
          </w:p>
        </w:tc>
      </w:tr>
    </w:tbl>
    <w:sectPr w:rsidR="00952185" w:rsidRPr="00FF6C53" w:rsidSect="00034616">
      <w:footerReference w:type="default" r:id="rId8"/>
      <w:pgSz w:w="11906" w:h="16838"/>
      <w:pgMar w:top="1134" w:right="1134" w:bottom="1134" w:left="1134" w:header="720" w:footer="720" w:gutter="0"/>
      <w:cols w:space="720"/>
      <w:docGrid w:linePitch="360"/>
    </w:sectPr>
    <w:p>
      <w:pPr>
        <w:keepNext/>
        <w:spacing w:before="60" w:after="40"/>
      </w:pPr>
      <w:r>
        <w:rPr>
          <w:rFonts w:ascii="Arial" w:hAnsi="Arial"/>
          <w:b/>
          <w:color w:val="1F2937"/>
          <w:sz w:val="22"/>
        </w:rPr>
        <w:t>Lampiran D: Matriks Evaluasi Lengkap Kriteria Penerimaan dan Luaran OBE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trPr>
        <w:tc>
          <w:tcPr>
            <w:tcW w:type="dxa" w:w="1152"/>
            <w:shd w:fill="EAECEE"/>
            <w:tcMar>
              <w:top w:w="60" w:type="dxa"/>
              <w:bottom w:w="60" w:type="dxa"/>
              <w:left w:w="80" w:type="dxa"/>
              <w:right w:w="80" w:type="dxa"/>
            </w:tcMar>
            <w:vAlign w:val="center"/>
          </w:tcPr>
          <w:p>
            <w:pPr>
              <w:spacing w:line="252" w:lineRule="auto" w:after="10" w:before="0"/>
            </w:pPr>
            <w:r/>
            <w:r>
              <w:rPr>
                <w:rFonts w:ascii="Calibri" w:hAnsi="Calibri"/>
                <w:b/>
                <w:sz w:val="15"/>
              </w:rPr>
              <w:t>Kelompok Uji</w:t>
            </w:r>
          </w:p>
        </w:tc>
        <w:tc>
          <w:tcPr>
            <w:tcW w:type="dxa" w:w="1008"/>
            <w:shd w:fill="EAECEE"/>
            <w:tcMar>
              <w:top w:w="60" w:type="dxa"/>
              <w:bottom w:w="60" w:type="dxa"/>
              <w:left w:w="80" w:type="dxa"/>
              <w:right w:w="80" w:type="dxa"/>
            </w:tcMar>
            <w:vAlign w:val="center"/>
          </w:tcPr>
          <w:p>
            <w:pPr>
              <w:spacing w:line="252" w:lineRule="auto" w:after="10" w:before="0"/>
            </w:pPr>
            <w:r/>
            <w:r>
              <w:rPr>
                <w:rFonts w:ascii="Calibri" w:hAnsi="Calibri"/>
                <w:b/>
                <w:sz w:val="15"/>
              </w:rPr>
              <w:t>ID Uji</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
              <w:rPr>
                <w:rFonts w:ascii="Calibri" w:hAnsi="Calibri"/>
                <w:b/>
                <w:sz w:val="15"/>
              </w:rPr>
              <w:t>Ambang Batas Teoretis</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
              <w:rPr>
                <w:rFonts w:ascii="Calibri" w:hAnsi="Calibri"/>
                <w:b/>
                <w:sz w:val="15"/>
              </w:rPr>
              <w:t>Hasil Pengujian Nyata</w:t>
            </w:r>
          </w:p>
        </w:tc>
        <w:tc>
          <w:tcPr>
            <w:tcW w:type="dxa" w:w="720"/>
            <w:shd w:fill="EAECEE"/>
            <w:tcMar>
              <w:top w:w="60" w:type="dxa"/>
              <w:bottom w:w="60" w:type="dxa"/>
              <w:left w:w="80" w:type="dxa"/>
              <w:right w:w="80" w:type="dxa"/>
            </w:tcMar>
            <w:vAlign w:val="center"/>
          </w:tcPr>
          <w:p>
            <w:pPr>
              <w:spacing w:line="252" w:lineRule="auto" w:after="10" w:before="0"/>
            </w:pPr>
            <w:r/>
            <w:r>
              <w:rPr>
                <w:rFonts w:ascii="Calibri" w:hAnsi="Calibri"/>
                <w:b/>
                <w:sz w:val="15"/>
              </w:rPr>
              <w:t>Status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T-01: menerbitkan batch ijazah oleh akun berwenang ISSUER_ROLE / B-03</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Penjangkaran root batch sukses menyimpan root dan memancarkan event BatchIssued.</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sukses (status=1), exists==true.</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W3C VC Data Model v2.0, Bagian 4.10 (Status) [1] [URL: https://www.w3.org/TR/vc-data-model-2.0/#status]: Konsisten dengan mekanisme penemuan status kredensial (credentialStatus) untuk memeriksa keabsahan dokumen via rujukan status eksternal (W3C Recommendation, 15 Mei 2025).</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Root terdaftar di Block #2; event BatchIssued terpancar sah.</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T-02: memverifikasi kredensial sah menggunakan valid Merkle proof / B-04</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Verifikasi ijazah sah mengembalikan status valid tanpa memodifikasi storage state.</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isValid==true, status 'VALID', gas pemverifikasi = 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Resmi Ethereum JSON-RPC API, metode eth_call [2] [URL: https://ethereum.org/en/developers/docs/apis/json-rpc/#eth_call]: Eksekusi pesan panggilan simulasi lokal pada node tanpa transaksi on-chain (executes a new message call immediately without creating a transaction on the blockchain), tidak memodifikasi status (state), dan bebas biaya gas bagi publik (eth_call consumes zero gas).</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Mengembalikan true, status 'VALID', 0 gas verifikator publik.</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T-05: mencabut status keabsahan ijazah oleh REVOKER_ROLE secara spesifik / B-06</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Pencabutan kredensial oleh REVOKER_ROLE langsung membatalkan keabsahan target (O(1)).</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verifikasi pasca-cabut berubah menjadi false ('CREDENTIAL_REVOKED').</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Pembanding Desain vs W3C Bitstring Status List v1.0 [8]: Berbeda dari pendekatan bitstring terkompresi off-chain (W3C Recommendation, 15 Mei 2025),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tercabut seketika; ijazah lain tetap valid.</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T-03: menolak manipulasi klaim data IPK dan salt palsu / B-05A</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Manipulasi klaim data (IPK, nama) atau salt wajib terdeteksi dan ditolak oleh kontrak.</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isValid==false, pesan 'INVALID_PROOF_OR_TAMPERED'.</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spesifikasi Keccak asli (Bertoni et al., 2011 [6]) dan NIST FIPS 202 [12]: Resistensi benturan dan pre-image varian asli Keccak-256 (padding 10*1, berbeda dari FIPS 202 SHA3-256 ber-domain separator 01 / heksadesimal 06) menjamin daun termutasi menghasilkan hash berbeda sehingga gagal verifikasi root.</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Ditolak seketika oleh verifikasi Merkle on-chain.</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T-04 &amp; T-06: membatalkan upaya tanpa peran berwenang / B-05B</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Pemanggilan fungsi istimewa oleh akun tak berwenang wajib dibatalkan (revert).</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Revert dengan AccessControlUnauthorizedAccount.</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secara umum dengan prinsip Least Privilege (Saltzer &amp; Schroeder, 1975 [5], Bagian I.A.1.f): Setiap entitas hanya diberikan hak akses minimum yang esensial, diimplementasikan via pustaka OpenZeppelin Contracts v5 AccessControl [3].</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penyerang dibatalkan (revert) secara deterministik.</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T-07: menghentikan mutasi state saat jeda darurat pause aktif / B-07</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Aktivasi jeda darurat (pause()) membekukan operasi penulisan saat insiden keamanan.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revert EnforcedPause; pemulihan via unpause().</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OpenZeppelin Contracts v5 Pausable [3] &amp; ConsenSys Circuit Breaker Pattern [URL: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dicegat saat pause, normal pasca-unpause.</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mengevaluasi efisiensi gas konstan O(1)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Konsumsi gas issueBatch independen dari jumlah lulusan (O(1) gas scalability).</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Deviasi relatif gas eksekusi murni antar-skala &lt;= 1.0%; total gas &lt;= 1.0% Block Gas Limit (60M gas node lokal / 30M gas contoh hipotetis konsorsium).</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Konsep Kompresi Pohon Autentikasi (Merkle, U.S. Patent 4,309,569, 1982) [4] &amp; Pengukuran Empiris EVM: Paten Merkle (1982) memformulasikan tree authentication dan kompresi N daun menjadi satu root 32-byte. Klaim bahwa biaya penulisan penyimpanan konstan O(1) (SSTORE) merupakan sifat teknis penyimpanan 32 byte di EVM dan hasil ukur prototipe (B-08); selisih gas transaksi riil terbukti murni berasal dari payload calldata ABI (EIP-2028 [11]).</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Gas Eksekusi Murni N=6: 164.911 gas vs N=1000: 164.911 gas (Delta = 0 gas = 0,0000%).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mengevaluasi panjang proof logaritmik O(log 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pembuktian Merkle Proof terikat batas logaritmik ceil(log2 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proof &lt;= ceil(log2 N) (3 untuk N=6, 7 untuk N=100, 10 untuk N=1.000).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Sifat Struktural Pohon Biner Lengkap (Complete Binary Tree, Merkle 1982 [4]): Pada pohon biner lengkap beranggotakan N daun, jalur verifikasi (audit path) dari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Tepat 3, 7, dan 10 sibling hash (100% presisi matematis).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evaluasi estimasi komputasi murni verifikasi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Estimasi komputasi murni eksekusi internal EVM verifikasi berada di ambang batas linier.</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Model Anggaran Linier Pasca-Pengukuran: Pertumbuhan terukur ~252 gas/sibling konsisten dengan O(log N) dan perkiraan analitis biaya opcode loop MerkleProof.verify [3], [4] (KECCAK256 [6]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8.554 gas (N=6) hingga 10.313 gas (N=1000).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evaluasi waktu pembuatan Merkle tree off-chain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Pembuatan Merkle Tree off-chain 1.000 ijazah tuntas di bawah 1 detik (&lt; 1.000 ms).</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Durasi rata-rata &lt; 1.000 ms pada perangkat keras standar.</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pedoman batas responsivitas interaksi manusia-komputer (Nielsen, 1993, 'Response Times: The 3 Important Limits', Nielsen Norman Group) [7]: Eksekusi komputasi sub-detik (&lt; 1.000 ms) menjaga alur kognitif pengguna tetap terjaga tanpa distraksi jeda antarmuka.</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Rata-rata 129,44 ms (rentang 121,10 sampai 146,35 ms).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bl>
    <w:p>
      <w:pPr>
        <w:keepNext/>
        <w:spacing w:before="60" w:after="40"/>
      </w:pPr>
      <w:r>
        <w:rPr>
          <w:rFonts w:ascii="Arial" w:hAnsi="Arial"/>
          <w:b/>
          <w:color w:val="1F2937"/>
          <w:sz w:val="22"/>
        </w:rPr>
        <w:t>Lampiran E: Rekapitulasi Lengkap Metrik Pengujian Performa 30 Run Terukur</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Karakteristik Skalabilitas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Waktu Build Tree Off-Chain (ms)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1.43 ms (SD: 0.43) [0.87 - 2.48]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14.01 ms (SD: 2.92) [11.29 - 26.39]</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129.44 ms (SD: 6.49) [121.10 - 146.35]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Linier O(N), tuntas sub-detik (&lt; 1 detik).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Logaritmik O(log N), presisi teoretis.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issueBatch (Total)</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 (SD: 8) [187.855 - 187.879]</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 (SD: 6) [187.915 - 187.927]</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 (SD: 6) [187.951 - 187.963]</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Selisih minor murni dari calldata EIP-2028.</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Konstan Eksak O(1) (Deviasi 0,0000%).</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revokeCredential</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55.303 gas (SD: 7) [55.285 - 55.309]</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55.328 gas (SD: 6) [55.321 - 55.333]</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55.340 gas (SD: 7) [55.321 - 55.345]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Konstan O(1) (Pembaruan mapping storage).</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Raw estimateGas verifyCredential</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32.242 gas (SD: 13) [32.211 - 32.267]</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35.311 gas (SD: 20) [35.269 - 35.347]</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37.611 gas (SD: 25) [37.566 - 37.666]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Simulasi EVM termasuk 21.000 gas transaksi.</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Intrinsik Calldata verify</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2.687 gas (SD: 11) [2.664 - 2.700]</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4.753 gas (SD: 14) [4.724 - 4.772]</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6.298 gas (SD: 16) [6.260 - 6.320]</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Calldata proof membesar secara logaritmik.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Estimasi Gas Eksekusi Murni verify</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8.554 gas (SD: 8) [8.537 - 8.567]</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9.558 gas (SD: 13) [9.535 - 9.585]</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10.313 gas (SD: 17) [10.266 - 10.346]</w:t>
            </w:r>
          </w:p>
        </w:tc>
        <w:tc>
          <w:tcPr>
            <w:tcW w:type="dxa" w:w="1872"/>
            <w:tcMar>
              <w:top w:w="50" w:type="dxa"/>
              <w:bottom w:w="50" w:type="dxa"/>
              <w:left w:w="80" w:type="dxa"/>
              <w:right w:w="80" w:type="dxa"/>
            </w:tcMar>
            <w:vAlign w:val="center"/>
          </w:tcPr>
          <w:p>
            <w:pPr>
              <w:spacing w:before="0" w:after="0" w:line="240" w:lineRule="auto"/>
              <w:jc w:val="left"/>
            </w:pPr>
            <w:r/>
            <w:r>
              <w:rPr>
                <w:rFonts w:ascii="Calibri" w:hAnsi="Calibri"/>
                <w:sz w:val="15"/>
              </w:rPr>
              <w:t>Model Linier: 7.800 + 251,3 * 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Kueri lokal JSON-RPC eth_call (read-only).</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Latensi Kueri View Call (ms)</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0.89 ms (SD: 0.58) [0.48 - 3.24]</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0.87 ms (SD: 0.77) [0.38 - 3.72]</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0.82 ms (SD: 0.26) [0.55 - 1.46]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Sangat cepat (&lt; 1 ms), responsif instan.</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Laporan UTS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