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518C" w14:textId="01881660" w:rsidR="006B7F32" w:rsidRPr="00847CA3" w:rsidRDefault="005F583E" w:rsidP="00847CA3">
      <w:pPr>
        <w:spacing w:line="360" w:lineRule="auto"/>
        <w:jc w:val="center"/>
        <w:rPr>
          <w:rFonts w:ascii="Arial" w:hAnsi="Arial" w:cs="Arial"/>
          <w:b/>
          <w:bCs/>
          <w:smallCaps/>
          <w:sz w:val="24"/>
          <w:szCs w:val="24"/>
        </w:rPr>
      </w:pPr>
      <w:r w:rsidRPr="00847CA3">
        <w:rPr>
          <w:rFonts w:ascii="Arial" w:hAnsi="Arial" w:cs="Arial"/>
          <w:b/>
          <w:bCs/>
          <w:smallCaps/>
          <w:sz w:val="24"/>
          <w:szCs w:val="24"/>
        </w:rPr>
        <w:t xml:space="preserve">Análisis </w:t>
      </w:r>
      <w:r w:rsidR="004B668B" w:rsidRPr="00847CA3">
        <w:rPr>
          <w:rFonts w:ascii="Arial" w:hAnsi="Arial" w:cs="Arial"/>
          <w:b/>
          <w:bCs/>
          <w:smallCaps/>
          <w:sz w:val="24"/>
          <w:szCs w:val="24"/>
        </w:rPr>
        <w:t xml:space="preserve">con </w:t>
      </w:r>
      <w:r w:rsidR="00402471" w:rsidRPr="00847CA3">
        <w:rPr>
          <w:rFonts w:ascii="Arial" w:hAnsi="Arial" w:cs="Arial"/>
          <w:b/>
          <w:bCs/>
          <w:smallCaps/>
          <w:sz w:val="24"/>
          <w:szCs w:val="24"/>
        </w:rPr>
        <w:t>Econometría</w:t>
      </w:r>
      <w:r w:rsidR="004B668B" w:rsidRPr="00847CA3">
        <w:rPr>
          <w:rFonts w:ascii="Arial" w:hAnsi="Arial" w:cs="Arial"/>
          <w:b/>
          <w:bCs/>
          <w:smallCaps/>
          <w:sz w:val="24"/>
          <w:szCs w:val="24"/>
        </w:rPr>
        <w:t xml:space="preserve"> </w:t>
      </w:r>
      <w:r w:rsidRPr="00847CA3">
        <w:rPr>
          <w:rFonts w:ascii="Arial" w:hAnsi="Arial" w:cs="Arial"/>
          <w:b/>
          <w:bCs/>
          <w:smallCaps/>
          <w:sz w:val="24"/>
          <w:szCs w:val="24"/>
        </w:rPr>
        <w:t>de la Inversión</w:t>
      </w:r>
      <w:r w:rsidR="004B668B" w:rsidRPr="00847CA3">
        <w:rPr>
          <w:rFonts w:ascii="Arial" w:hAnsi="Arial" w:cs="Arial"/>
          <w:b/>
          <w:bCs/>
          <w:smallCaps/>
          <w:sz w:val="24"/>
          <w:szCs w:val="24"/>
        </w:rPr>
        <w:t xml:space="preserve"> privada</w:t>
      </w:r>
    </w:p>
    <w:p w14:paraId="115EED7E" w14:textId="10C2418F" w:rsidR="00716312" w:rsidRPr="00847CA3" w:rsidRDefault="0033445D" w:rsidP="00847CA3">
      <w:pPr>
        <w:spacing w:line="360" w:lineRule="auto"/>
        <w:jc w:val="both"/>
        <w:rPr>
          <w:rFonts w:ascii="Arial" w:hAnsi="Arial" w:cs="Arial"/>
          <w:sz w:val="24"/>
          <w:szCs w:val="24"/>
        </w:rPr>
      </w:pPr>
      <w:r w:rsidRPr="00847CA3">
        <w:rPr>
          <w:rFonts w:ascii="Arial" w:hAnsi="Arial" w:cs="Arial"/>
          <w:sz w:val="24"/>
          <w:szCs w:val="24"/>
        </w:rPr>
        <w:t>El objetivo del presente trabajo es analizar los principales factores determinantes de la inversión privada y</w:t>
      </w:r>
      <w:r w:rsidR="005F583E" w:rsidRPr="00847CA3">
        <w:rPr>
          <w:rFonts w:ascii="Arial" w:hAnsi="Arial" w:cs="Arial"/>
          <w:sz w:val="24"/>
          <w:szCs w:val="24"/>
        </w:rPr>
        <w:t xml:space="preserve"> es establecer </w:t>
      </w:r>
      <w:r w:rsidR="003A125C" w:rsidRPr="00847CA3">
        <w:rPr>
          <w:rFonts w:ascii="Arial" w:hAnsi="Arial" w:cs="Arial"/>
          <w:sz w:val="24"/>
          <w:szCs w:val="24"/>
        </w:rPr>
        <w:t>una relación entre l</w:t>
      </w:r>
      <w:r w:rsidR="004B668B" w:rsidRPr="00847CA3">
        <w:rPr>
          <w:rFonts w:ascii="Arial" w:hAnsi="Arial" w:cs="Arial"/>
          <w:sz w:val="24"/>
          <w:szCs w:val="24"/>
        </w:rPr>
        <w:t>o que influye para que los agentes inviertan su dinero en lugar de gastarlo,</w:t>
      </w:r>
      <w:r w:rsidR="003A125C" w:rsidRPr="00847CA3">
        <w:rPr>
          <w:rFonts w:ascii="Arial" w:hAnsi="Arial" w:cs="Arial"/>
          <w:sz w:val="24"/>
          <w:szCs w:val="24"/>
        </w:rPr>
        <w:t xml:space="preserve"> así como también el explorar el funcionamiento de la propuesta de modelo comparándolo y asemejándolo con los modelos ya existentes por diversos autores como lo son </w:t>
      </w:r>
      <w:r w:rsidR="004B668B" w:rsidRPr="00847CA3">
        <w:rPr>
          <w:rFonts w:ascii="Arial" w:hAnsi="Arial" w:cs="Arial"/>
          <w:sz w:val="24"/>
          <w:szCs w:val="24"/>
        </w:rPr>
        <w:t xml:space="preserve">Joshua Greene y </w:t>
      </w:r>
      <w:hyperlink r:id="rId7" w:history="1">
        <w:r w:rsidR="004B668B" w:rsidRPr="00847CA3">
          <w:rPr>
            <w:rFonts w:ascii="Arial" w:hAnsi="Arial" w:cs="Arial"/>
            <w:sz w:val="24"/>
            <w:szCs w:val="24"/>
          </w:rPr>
          <w:t>Delano Villanueva</w:t>
        </w:r>
      </w:hyperlink>
      <w:r w:rsidR="00716312" w:rsidRPr="00847CA3">
        <w:rPr>
          <w:rFonts w:ascii="Arial" w:hAnsi="Arial" w:cs="Arial"/>
          <w:sz w:val="24"/>
          <w:szCs w:val="24"/>
        </w:rPr>
        <w:t>. (1</w:t>
      </w:r>
      <w:r w:rsidR="004B668B" w:rsidRPr="00847CA3">
        <w:rPr>
          <w:rFonts w:ascii="Arial" w:hAnsi="Arial" w:cs="Arial"/>
          <w:sz w:val="24"/>
          <w:szCs w:val="24"/>
        </w:rPr>
        <w:t xml:space="preserve">995) y </w:t>
      </w:r>
      <w:r w:rsidR="00716312" w:rsidRPr="00847CA3">
        <w:rPr>
          <w:rFonts w:ascii="Arial" w:hAnsi="Arial" w:cs="Arial"/>
          <w:sz w:val="24"/>
          <w:szCs w:val="24"/>
        </w:rPr>
        <w:t xml:space="preserve">Schmidt-Hebbel, Klaus &amp; Serven, Luis &amp; Solimano, </w:t>
      </w:r>
      <w:r w:rsidR="00402471" w:rsidRPr="00847CA3">
        <w:rPr>
          <w:rFonts w:ascii="Arial" w:hAnsi="Arial" w:cs="Arial"/>
          <w:sz w:val="24"/>
          <w:szCs w:val="24"/>
        </w:rPr>
        <w:t>Andrés</w:t>
      </w:r>
      <w:r w:rsidR="00716312" w:rsidRPr="00847CA3">
        <w:rPr>
          <w:rFonts w:ascii="Arial" w:hAnsi="Arial" w:cs="Arial"/>
          <w:sz w:val="24"/>
          <w:szCs w:val="24"/>
        </w:rPr>
        <w:t>. (199</w:t>
      </w:r>
      <w:r w:rsidRPr="00847CA3">
        <w:rPr>
          <w:rFonts w:ascii="Arial" w:hAnsi="Arial" w:cs="Arial"/>
          <w:sz w:val="24"/>
          <w:szCs w:val="24"/>
        </w:rPr>
        <w:t>2</w:t>
      </w:r>
      <w:r w:rsidR="00716312" w:rsidRPr="00847CA3">
        <w:rPr>
          <w:rFonts w:ascii="Arial" w:hAnsi="Arial" w:cs="Arial"/>
          <w:sz w:val="24"/>
          <w:szCs w:val="24"/>
        </w:rPr>
        <w:t xml:space="preserve">). Analizaron con distintas variables </w:t>
      </w:r>
      <w:r w:rsidRPr="00847CA3">
        <w:rPr>
          <w:rFonts w:ascii="Arial" w:hAnsi="Arial" w:cs="Arial"/>
          <w:sz w:val="24"/>
          <w:szCs w:val="24"/>
        </w:rPr>
        <w:t xml:space="preserve">las condiciones que según su visión influía en el comportamiento de la inversión privada y parte de </w:t>
      </w:r>
      <w:r w:rsidR="00716312" w:rsidRPr="00847CA3">
        <w:rPr>
          <w:rFonts w:ascii="Arial" w:hAnsi="Arial" w:cs="Arial"/>
          <w:sz w:val="24"/>
          <w:szCs w:val="24"/>
        </w:rPr>
        <w:t>las incertidumbres en la decisión de invertir y de las restricciones externas.</w:t>
      </w:r>
    </w:p>
    <w:p w14:paraId="22F22F06" w14:textId="124E0F7A" w:rsidR="005F583E" w:rsidRPr="00847CA3" w:rsidRDefault="005F583E" w:rsidP="00847CA3">
      <w:pPr>
        <w:spacing w:line="360" w:lineRule="auto"/>
        <w:jc w:val="both"/>
        <w:rPr>
          <w:rFonts w:ascii="Arial" w:hAnsi="Arial" w:cs="Arial"/>
          <w:sz w:val="24"/>
          <w:szCs w:val="24"/>
        </w:rPr>
      </w:pPr>
      <w:r w:rsidRPr="00847CA3">
        <w:rPr>
          <w:rFonts w:ascii="Arial" w:hAnsi="Arial" w:cs="Arial"/>
          <w:sz w:val="24"/>
          <w:szCs w:val="24"/>
        </w:rPr>
        <w:t xml:space="preserve">En lo que llevamos del 2019 la caída en la inversión ha sido a niveles cercanos al lejano 2009 en </w:t>
      </w:r>
      <w:r w:rsidR="00402471" w:rsidRPr="00847CA3">
        <w:rPr>
          <w:rFonts w:ascii="Arial" w:hAnsi="Arial" w:cs="Arial"/>
          <w:sz w:val="24"/>
          <w:szCs w:val="24"/>
        </w:rPr>
        <w:t>donde la</w:t>
      </w:r>
      <w:r w:rsidRPr="00847CA3">
        <w:rPr>
          <w:rFonts w:ascii="Arial" w:hAnsi="Arial" w:cs="Arial"/>
          <w:sz w:val="24"/>
          <w:szCs w:val="24"/>
        </w:rPr>
        <w:t xml:space="preserve"> razón de una baja inversión fue la crisis mundial, un factor externo que hoy en </w:t>
      </w:r>
      <w:r w:rsidR="00402471" w:rsidRPr="00847CA3">
        <w:rPr>
          <w:rFonts w:ascii="Arial" w:hAnsi="Arial" w:cs="Arial"/>
          <w:sz w:val="24"/>
          <w:szCs w:val="24"/>
        </w:rPr>
        <w:t>México</w:t>
      </w:r>
      <w:r w:rsidRPr="00847CA3">
        <w:rPr>
          <w:rFonts w:ascii="Arial" w:hAnsi="Arial" w:cs="Arial"/>
          <w:sz w:val="24"/>
          <w:szCs w:val="24"/>
        </w:rPr>
        <w:t xml:space="preserve"> no </w:t>
      </w:r>
      <w:r w:rsidR="00681F05" w:rsidRPr="00847CA3">
        <w:rPr>
          <w:rFonts w:ascii="Arial" w:hAnsi="Arial" w:cs="Arial"/>
          <w:sz w:val="24"/>
          <w:szCs w:val="24"/>
        </w:rPr>
        <w:t>está</w:t>
      </w:r>
      <w:r w:rsidRPr="00847CA3">
        <w:rPr>
          <w:rFonts w:ascii="Arial" w:hAnsi="Arial" w:cs="Arial"/>
          <w:sz w:val="24"/>
          <w:szCs w:val="24"/>
        </w:rPr>
        <w:t xml:space="preserve"> afectando el desempeño de nuestra economía y para términos de este trabajo de investigación particularmente de la inversión. la inversión en México ha mostrado un estancamiento, afectada en parte por el contexto de elevada incertidumbre que la economía mexicana ha estado enfrentando desde pasar por tenciones políticas electorales y hasta por guerras comerciales o provocaciones comerciales que han venido por parte de nuestro vecino del norte, destacando procesos electorales en Estados Unidos con una </w:t>
      </w:r>
      <w:r w:rsidR="00681F05" w:rsidRPr="00847CA3">
        <w:rPr>
          <w:rFonts w:ascii="Arial" w:hAnsi="Arial" w:cs="Arial"/>
          <w:sz w:val="24"/>
          <w:szCs w:val="24"/>
        </w:rPr>
        <w:t>retórica</w:t>
      </w:r>
      <w:r w:rsidRPr="00847CA3">
        <w:rPr>
          <w:rFonts w:ascii="Arial" w:hAnsi="Arial" w:cs="Arial"/>
          <w:sz w:val="24"/>
          <w:szCs w:val="24"/>
        </w:rPr>
        <w:t xml:space="preserve"> por parte del candidato republicano Donald Trump, de hacer un muro en la frontera con </w:t>
      </w:r>
      <w:r w:rsidR="00402471" w:rsidRPr="00847CA3">
        <w:rPr>
          <w:rFonts w:ascii="Arial" w:hAnsi="Arial" w:cs="Arial"/>
          <w:sz w:val="24"/>
          <w:szCs w:val="24"/>
        </w:rPr>
        <w:t>México</w:t>
      </w:r>
      <w:r w:rsidRPr="00847CA3">
        <w:rPr>
          <w:rFonts w:ascii="Arial" w:hAnsi="Arial" w:cs="Arial"/>
          <w:sz w:val="24"/>
          <w:szCs w:val="24"/>
        </w:rPr>
        <w:t xml:space="preserve"> para bajar los niveles de indocumentados en ese país que provienen en buena parte de nuestro país aunque no necesariamente son mexicanos. En efecto, esto ha incidido negativamente sobre el comportamiento de la inversión privada. La renegociación del TLCAN y, más recientemente, el proceso electoral en nuestro país y las mayores tensiones en torno al comercio y la adopción de medidas proteccionistas a escala global ya mencionadas.</w:t>
      </w:r>
    </w:p>
    <w:p w14:paraId="4002AEC1" w14:textId="26AAD161" w:rsidR="005F583E" w:rsidRPr="00847CA3" w:rsidRDefault="0033445D" w:rsidP="00847CA3">
      <w:pPr>
        <w:spacing w:line="360" w:lineRule="auto"/>
        <w:jc w:val="both"/>
        <w:rPr>
          <w:rFonts w:ascii="Arial" w:hAnsi="Arial" w:cs="Arial"/>
          <w:sz w:val="24"/>
          <w:szCs w:val="24"/>
        </w:rPr>
      </w:pPr>
      <w:r w:rsidRPr="00847CA3">
        <w:rPr>
          <w:rFonts w:ascii="Arial" w:hAnsi="Arial" w:cs="Arial"/>
          <w:sz w:val="24"/>
          <w:szCs w:val="24"/>
        </w:rPr>
        <w:t xml:space="preserve">Las variables que esto autores toman en </w:t>
      </w:r>
      <w:r w:rsidR="00681F05" w:rsidRPr="00847CA3">
        <w:rPr>
          <w:rFonts w:ascii="Arial" w:hAnsi="Arial" w:cs="Arial"/>
          <w:sz w:val="24"/>
          <w:szCs w:val="24"/>
        </w:rPr>
        <w:t>cuenta,</w:t>
      </w:r>
      <w:r w:rsidRPr="00847CA3">
        <w:rPr>
          <w:rFonts w:ascii="Arial" w:hAnsi="Arial" w:cs="Arial"/>
          <w:sz w:val="24"/>
          <w:szCs w:val="24"/>
        </w:rPr>
        <w:t xml:space="preserve"> pero yo centrándome en el caso de </w:t>
      </w:r>
      <w:r w:rsidR="00402471" w:rsidRPr="00847CA3">
        <w:rPr>
          <w:rFonts w:ascii="Arial" w:hAnsi="Arial" w:cs="Arial"/>
          <w:sz w:val="24"/>
          <w:szCs w:val="24"/>
        </w:rPr>
        <w:t>México</w:t>
      </w:r>
      <w:r w:rsidRPr="00847CA3">
        <w:rPr>
          <w:rFonts w:ascii="Arial" w:hAnsi="Arial" w:cs="Arial"/>
          <w:sz w:val="24"/>
          <w:szCs w:val="24"/>
        </w:rPr>
        <w:t xml:space="preserve"> para el periodo 1999Q1-2019Q2 este periodo lo acote dado que un indicador que a mi parecer y </w:t>
      </w:r>
      <w:r w:rsidR="00681F05" w:rsidRPr="00847CA3">
        <w:rPr>
          <w:rFonts w:ascii="Arial" w:hAnsi="Arial" w:cs="Arial"/>
          <w:sz w:val="24"/>
          <w:szCs w:val="24"/>
        </w:rPr>
        <w:t>más</w:t>
      </w:r>
      <w:r w:rsidRPr="00847CA3">
        <w:rPr>
          <w:rFonts w:ascii="Arial" w:hAnsi="Arial" w:cs="Arial"/>
          <w:sz w:val="24"/>
          <w:szCs w:val="24"/>
        </w:rPr>
        <w:t xml:space="preserve"> adelante </w:t>
      </w:r>
      <w:r w:rsidR="00402471" w:rsidRPr="00847CA3">
        <w:rPr>
          <w:rFonts w:ascii="Arial" w:hAnsi="Arial" w:cs="Arial"/>
          <w:sz w:val="24"/>
          <w:szCs w:val="24"/>
        </w:rPr>
        <w:t>diré</w:t>
      </w:r>
      <w:r w:rsidRPr="00847CA3">
        <w:rPr>
          <w:rFonts w:ascii="Arial" w:hAnsi="Arial" w:cs="Arial"/>
          <w:sz w:val="24"/>
          <w:szCs w:val="24"/>
        </w:rPr>
        <w:t xml:space="preserve"> a ciencia cierta el </w:t>
      </w:r>
      <w:r w:rsidR="00681F05" w:rsidRPr="00847CA3">
        <w:rPr>
          <w:rFonts w:ascii="Arial" w:hAnsi="Arial" w:cs="Arial"/>
          <w:sz w:val="24"/>
          <w:szCs w:val="24"/>
        </w:rPr>
        <w:t>porqué</w:t>
      </w:r>
      <w:r w:rsidRPr="00847CA3">
        <w:rPr>
          <w:rFonts w:ascii="Arial" w:hAnsi="Arial" w:cs="Arial"/>
          <w:sz w:val="24"/>
          <w:szCs w:val="24"/>
        </w:rPr>
        <w:t xml:space="preserve"> de esa importancia es la tasa de interés real, el registro mas lejano del indicador es el primer </w:t>
      </w:r>
      <w:r w:rsidRPr="00847CA3">
        <w:rPr>
          <w:rFonts w:ascii="Arial" w:hAnsi="Arial" w:cs="Arial"/>
          <w:sz w:val="24"/>
          <w:szCs w:val="24"/>
        </w:rPr>
        <w:lastRenderedPageBreak/>
        <w:t xml:space="preserve">trimestre de 1999 y los demás indicadores si pueden cubrir el periodo algo que la tasa de interés no podía hacer. </w:t>
      </w:r>
    </w:p>
    <w:p w14:paraId="488F1D99" w14:textId="6E55A93A" w:rsidR="00716312" w:rsidRPr="00847CA3" w:rsidRDefault="0033445D" w:rsidP="00847CA3">
      <w:pPr>
        <w:spacing w:line="360" w:lineRule="auto"/>
        <w:jc w:val="both"/>
        <w:rPr>
          <w:rFonts w:ascii="Arial" w:hAnsi="Arial" w:cs="Arial"/>
          <w:sz w:val="24"/>
          <w:szCs w:val="24"/>
        </w:rPr>
      </w:pPr>
      <w:r w:rsidRPr="00847CA3">
        <w:rPr>
          <w:rFonts w:ascii="Arial" w:hAnsi="Arial" w:cs="Arial"/>
          <w:sz w:val="24"/>
          <w:szCs w:val="24"/>
        </w:rPr>
        <w:t xml:space="preserve">Según Servén y Solimano (1992), hay consideraciones teóricas y empíricas que sugieren que las variables relevantes para determinar la inversión privada en los países emergentes son: el producto interno, la tasa de interés real, la inversión pública, el crédito disponible para la inversión, la magnitud de la deuda externa, el tipo de cambio y la estabilidad macroeconómica. </w:t>
      </w:r>
    </w:p>
    <w:p w14:paraId="540B4B28" w14:textId="1E6B8351" w:rsidR="003D5466" w:rsidRPr="00847CA3" w:rsidRDefault="00702BEA" w:rsidP="00847CA3">
      <w:pPr>
        <w:spacing w:line="360" w:lineRule="auto"/>
        <w:jc w:val="both"/>
        <w:rPr>
          <w:rFonts w:ascii="Arial" w:hAnsi="Arial" w:cs="Arial"/>
          <w:sz w:val="24"/>
          <w:szCs w:val="24"/>
        </w:rPr>
      </w:pPr>
      <w:r w:rsidRPr="00847CA3">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1D997C71" wp14:editId="3CDD5F59">
                <wp:simplePos x="0" y="0"/>
                <wp:positionH relativeFrom="margin">
                  <wp:posOffset>2501265</wp:posOffset>
                </wp:positionH>
                <wp:positionV relativeFrom="paragraph">
                  <wp:posOffset>3676650</wp:posOffset>
                </wp:positionV>
                <wp:extent cx="3114675" cy="5429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542925"/>
                        </a:xfrm>
                        <a:prstGeom prst="rect">
                          <a:avLst/>
                        </a:prstGeom>
                        <a:solidFill>
                          <a:srgbClr val="FFFFFF"/>
                        </a:solidFill>
                        <a:ln w="9525">
                          <a:noFill/>
                          <a:miter lim="800000"/>
                          <a:headEnd/>
                          <a:tailEnd/>
                        </a:ln>
                      </wps:spPr>
                      <wps:txbx>
                        <w:txbxContent>
                          <w:p w14:paraId="51A19520" w14:textId="2E9BA59D" w:rsidR="006B7F32" w:rsidRPr="00702BEA" w:rsidRDefault="006B7F32" w:rsidP="00702BEA">
                            <w:pPr>
                              <w:jc w:val="both"/>
                              <w:rPr>
                                <w:sz w:val="18"/>
                                <w:szCs w:val="18"/>
                              </w:rPr>
                            </w:pPr>
                            <w:r w:rsidRPr="00702BEA">
                              <w:rPr>
                                <w:sz w:val="18"/>
                                <w:szCs w:val="18"/>
                              </w:rPr>
                              <w:t xml:space="preserve">El grafico muestra una relación positiva entre el producto y la inversión privada, en medida que incremente el producto incrementa la </w:t>
                            </w:r>
                            <w:r>
                              <w:rPr>
                                <w:sz w:val="18"/>
                                <w:szCs w:val="18"/>
                              </w:rPr>
                              <w:t>inversión.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97C71" id="_x0000_t202" coordsize="21600,21600" o:spt="202" path="m,l,21600r21600,l21600,xe">
                <v:stroke joinstyle="miter"/>
                <v:path gradientshapeok="t" o:connecttype="rect"/>
              </v:shapetype>
              <v:shape id="Cuadro de texto 2" o:spid="_x0000_s1026" type="#_x0000_t202" style="position:absolute;left:0;text-align:left;margin-left:196.95pt;margin-top:289.5pt;width:245.25pt;height:42.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" stroked="f">
                <v:textbox>
                  <w:txbxContent>
                    <w:p w14:paraId="51A19520" w14:textId="2E9BA59D" w:rsidR="006B7F32" w:rsidRPr="00702BEA" w:rsidRDefault="006B7F32" w:rsidP="00702BEA">
                      <w:pPr>
                        <w:jc w:val="both"/>
                        <w:rPr>
                          <w:sz w:val="18"/>
                          <w:szCs w:val="18"/>
                        </w:rPr>
                      </w:pPr>
                      <w:r w:rsidRPr="00702BEA">
                        <w:rPr>
                          <w:sz w:val="18"/>
                          <w:szCs w:val="18"/>
                        </w:rPr>
                        <w:t xml:space="preserve">El grafico muestra una relación positiva entre el producto y la inversión privada, en medida que incremente el producto incrementa la </w:t>
                      </w:r>
                      <w:r>
                        <w:rPr>
                          <w:sz w:val="18"/>
                          <w:szCs w:val="18"/>
                        </w:rPr>
                        <w:t>inversión. Elaboración propia.</w:t>
                      </w:r>
                    </w:p>
                  </w:txbxContent>
                </v:textbox>
                <w10:wrap type="square" anchorx="margin"/>
              </v:shape>
            </w:pict>
          </mc:Fallback>
        </mc:AlternateContent>
      </w:r>
      <w:r w:rsidR="005D6C1F" w:rsidRPr="00847CA3">
        <w:rPr>
          <w:rFonts w:ascii="Arial" w:hAnsi="Arial" w:cs="Arial"/>
          <w:noProof/>
          <w:sz w:val="24"/>
          <w:szCs w:val="24"/>
        </w:rPr>
        <w:drawing>
          <wp:anchor distT="0" distB="0" distL="114300" distR="114300" simplePos="0" relativeHeight="251658240" behindDoc="0" locked="0" layoutInCell="1" allowOverlap="1" wp14:anchorId="0D7A407F" wp14:editId="5B3FD313">
            <wp:simplePos x="0" y="0"/>
            <wp:positionH relativeFrom="margin">
              <wp:align>right</wp:align>
            </wp:positionH>
            <wp:positionV relativeFrom="paragraph">
              <wp:posOffset>1104900</wp:posOffset>
            </wp:positionV>
            <wp:extent cx="3095625" cy="2609850"/>
            <wp:effectExtent l="0" t="0" r="9525" b="0"/>
            <wp:wrapThrough wrapText="bothSides">
              <wp:wrapPolygon edited="0">
                <wp:start x="0" y="0"/>
                <wp:lineTo x="0" y="21442"/>
                <wp:lineTo x="21534" y="21442"/>
                <wp:lineTo x="2153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798" t="19622" r="25831" b="7847"/>
                    <a:stretch/>
                  </pic:blipFill>
                  <pic:spPr bwMode="auto">
                    <a:xfrm>
                      <a:off x="0" y="0"/>
                      <a:ext cx="3095625" cy="260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5466" w:rsidRPr="00847CA3">
        <w:rPr>
          <w:rFonts w:ascii="Arial" w:hAnsi="Arial" w:cs="Arial"/>
          <w:sz w:val="24"/>
          <w:szCs w:val="24"/>
        </w:rPr>
        <w:t xml:space="preserve">Empezando por las variables tenemos que agregar inevitablemente la variable dependiente en este modelo, la formación bruta de capital </w:t>
      </w:r>
      <w:r w:rsidR="00681F05" w:rsidRPr="00847CA3">
        <w:rPr>
          <w:rFonts w:ascii="Arial" w:hAnsi="Arial" w:cs="Arial"/>
          <w:sz w:val="24"/>
          <w:szCs w:val="24"/>
        </w:rPr>
        <w:t>fijo-privada</w:t>
      </w:r>
      <w:r w:rsidR="003D5466" w:rsidRPr="00847CA3">
        <w:rPr>
          <w:rFonts w:ascii="Arial" w:hAnsi="Arial" w:cs="Arial"/>
          <w:sz w:val="24"/>
          <w:szCs w:val="24"/>
        </w:rPr>
        <w:t xml:space="preserve"> (FBKF privada), es la variable que vamos a explicar a partes independientes. Continuando </w:t>
      </w:r>
      <w:r w:rsidR="00402471" w:rsidRPr="00847CA3">
        <w:rPr>
          <w:rFonts w:ascii="Arial" w:hAnsi="Arial" w:cs="Arial"/>
          <w:sz w:val="24"/>
          <w:szCs w:val="24"/>
        </w:rPr>
        <w:t>según</w:t>
      </w:r>
      <w:r w:rsidR="003D5466" w:rsidRPr="00847CA3">
        <w:rPr>
          <w:rFonts w:ascii="Arial" w:hAnsi="Arial" w:cs="Arial"/>
          <w:sz w:val="24"/>
          <w:szCs w:val="24"/>
        </w:rPr>
        <w:t xml:space="preserve"> a la teoría neoclásica de la inversión, el valor del conjunto de capital deseado por una empresa competitiva es una función positiva de su nivel de producto, </w:t>
      </w:r>
      <w:r w:rsidR="00681F05" w:rsidRPr="00847CA3">
        <w:rPr>
          <w:rFonts w:ascii="Arial" w:hAnsi="Arial" w:cs="Arial"/>
          <w:sz w:val="24"/>
          <w:szCs w:val="24"/>
        </w:rPr>
        <w:t>de acuerdo con</w:t>
      </w:r>
      <w:r w:rsidR="003D5466" w:rsidRPr="00847CA3">
        <w:rPr>
          <w:rFonts w:ascii="Arial" w:hAnsi="Arial" w:cs="Arial"/>
          <w:sz w:val="24"/>
          <w:szCs w:val="24"/>
        </w:rPr>
        <w:t xml:space="preserve"> este argumento tome en cuenta que el producto de una empresa y </w:t>
      </w:r>
      <w:r w:rsidR="00402471" w:rsidRPr="00847CA3">
        <w:rPr>
          <w:rFonts w:ascii="Arial" w:hAnsi="Arial" w:cs="Arial"/>
          <w:sz w:val="24"/>
          <w:szCs w:val="24"/>
        </w:rPr>
        <w:t>llevándolo</w:t>
      </w:r>
      <w:r w:rsidR="003D5466" w:rsidRPr="00847CA3">
        <w:rPr>
          <w:rFonts w:ascii="Arial" w:hAnsi="Arial" w:cs="Arial"/>
          <w:sz w:val="24"/>
          <w:szCs w:val="24"/>
        </w:rPr>
        <w:t xml:space="preserve"> a la </w:t>
      </w:r>
      <w:r w:rsidR="00681F05" w:rsidRPr="00847CA3">
        <w:rPr>
          <w:rFonts w:ascii="Arial" w:hAnsi="Arial" w:cs="Arial"/>
          <w:sz w:val="24"/>
          <w:szCs w:val="24"/>
        </w:rPr>
        <w:t>macroeconomía</w:t>
      </w:r>
      <w:r w:rsidR="003D5466" w:rsidRPr="00847CA3">
        <w:rPr>
          <w:rFonts w:ascii="Arial" w:hAnsi="Arial" w:cs="Arial"/>
          <w:sz w:val="24"/>
          <w:szCs w:val="24"/>
        </w:rPr>
        <w:t xml:space="preserve"> lo consideramos como la demanda agregada, de ahí que lo podemos considerar como el Producto Interno Bruto por considerarse este último una aproximación del nivel de demanda de todos los agentes.</w:t>
      </w:r>
    </w:p>
    <w:p w14:paraId="5D8D211D" w14:textId="2DAF4D15" w:rsidR="003E2E04" w:rsidRPr="00847CA3" w:rsidRDefault="003D5466" w:rsidP="00847CA3">
      <w:pPr>
        <w:spacing w:line="360" w:lineRule="auto"/>
        <w:jc w:val="both"/>
        <w:rPr>
          <w:rFonts w:ascii="Arial" w:hAnsi="Arial" w:cs="Arial"/>
          <w:sz w:val="24"/>
          <w:szCs w:val="24"/>
        </w:rPr>
      </w:pPr>
      <w:r w:rsidRPr="00847CA3">
        <w:rPr>
          <w:rFonts w:ascii="Arial" w:hAnsi="Arial" w:cs="Arial"/>
          <w:sz w:val="24"/>
          <w:szCs w:val="24"/>
        </w:rPr>
        <w:t xml:space="preserve">Otra variable que la teoría neoclásica considera relevante en las decisiones de inversión es la tasa de interés real, que en este caso representaría el costo de uso del capital o el costo del crédito para la empresa. Dado que un aumento de los intereses contribuye a desincentivar la inversión, cabría esperar una relación negativa entre las dos variables. Para este análisis también se tienen </w:t>
      </w:r>
      <w:r w:rsidR="00681F05" w:rsidRPr="00847CA3">
        <w:rPr>
          <w:rFonts w:ascii="Arial" w:hAnsi="Arial" w:cs="Arial"/>
          <w:sz w:val="24"/>
          <w:szCs w:val="24"/>
        </w:rPr>
        <w:t>que utilizar</w:t>
      </w:r>
      <w:r w:rsidRPr="00847CA3">
        <w:rPr>
          <w:rFonts w:ascii="Arial" w:hAnsi="Arial" w:cs="Arial"/>
          <w:sz w:val="24"/>
          <w:szCs w:val="24"/>
        </w:rPr>
        <w:t xml:space="preserve"> los datos de la tasa de interés del período de estudio, que representan el promedio de las tasas de interés de los certificados </w:t>
      </w:r>
      <w:r w:rsidR="00681F05" w:rsidRPr="00847CA3">
        <w:rPr>
          <w:rFonts w:ascii="Arial" w:hAnsi="Arial" w:cs="Arial"/>
          <w:sz w:val="24"/>
          <w:szCs w:val="24"/>
        </w:rPr>
        <w:t>del tesoro</w:t>
      </w:r>
      <w:r w:rsidRPr="00847CA3">
        <w:rPr>
          <w:rFonts w:ascii="Arial" w:hAnsi="Arial" w:cs="Arial"/>
          <w:sz w:val="24"/>
          <w:szCs w:val="24"/>
        </w:rPr>
        <w:t xml:space="preserve"> (CETES). Según Marcio Bruno </w:t>
      </w:r>
      <w:r w:rsidRPr="00847CA3">
        <w:rPr>
          <w:rFonts w:ascii="Arial" w:hAnsi="Arial" w:cs="Arial"/>
          <w:sz w:val="24"/>
          <w:szCs w:val="24"/>
        </w:rPr>
        <w:lastRenderedPageBreak/>
        <w:t>Ribeiro y Joanilio Rodolpho Teixeira, (2001) en general, los gobiernos de los países en desarrollo tienen una participación considerable en las actividades económicas de éstos, lo que se justificaría por la ausencia del sector privado en grandes proyectos de inversión. La presencia del capital público afecta la inversión del sector privado de dos maneras distintas los datos utilizados para agregar este factor es la inversión pública se obtuvieron de los de la formación bruta de capital fijo publica (FBKF</w:t>
      </w:r>
      <w:r w:rsidR="003E2E04" w:rsidRPr="00847CA3">
        <w:rPr>
          <w:rFonts w:ascii="Arial" w:hAnsi="Arial" w:cs="Arial"/>
          <w:sz w:val="24"/>
          <w:szCs w:val="24"/>
        </w:rPr>
        <w:t xml:space="preserve"> publica). De la mano del mismo autor y parafraseándolo, dado que representa uno de los componentes que determinan el costo real de las importaciones</w:t>
      </w:r>
      <w:r w:rsidR="000471FA" w:rsidRPr="00847CA3">
        <w:rPr>
          <w:rFonts w:ascii="Arial" w:hAnsi="Arial" w:cs="Arial"/>
          <w:sz w:val="24"/>
          <w:szCs w:val="24"/>
        </w:rPr>
        <w:t xml:space="preserve"> y en </w:t>
      </w:r>
      <w:r w:rsidR="00681F05" w:rsidRPr="00847CA3">
        <w:rPr>
          <w:rFonts w:ascii="Arial" w:hAnsi="Arial" w:cs="Arial"/>
          <w:sz w:val="24"/>
          <w:szCs w:val="24"/>
        </w:rPr>
        <w:t>México</w:t>
      </w:r>
      <w:r w:rsidR="000471FA" w:rsidRPr="00847CA3">
        <w:rPr>
          <w:rFonts w:ascii="Arial" w:hAnsi="Arial" w:cs="Arial"/>
          <w:sz w:val="24"/>
          <w:szCs w:val="24"/>
        </w:rPr>
        <w:t xml:space="preserve">, en su gran mayoría, tenemos que importar bienes de capital para poder realizar la producción de ciertas </w:t>
      </w:r>
      <w:r w:rsidR="00681F05" w:rsidRPr="00847CA3">
        <w:rPr>
          <w:rFonts w:ascii="Arial" w:hAnsi="Arial" w:cs="Arial"/>
          <w:sz w:val="24"/>
          <w:szCs w:val="24"/>
        </w:rPr>
        <w:t>mercancías</w:t>
      </w:r>
      <w:r w:rsidR="003E2E04" w:rsidRPr="00847CA3">
        <w:rPr>
          <w:rFonts w:ascii="Arial" w:hAnsi="Arial" w:cs="Arial"/>
          <w:sz w:val="24"/>
          <w:szCs w:val="24"/>
        </w:rPr>
        <w:t xml:space="preserve">, el tipo de cambio </w:t>
      </w:r>
      <w:r w:rsidR="000471FA" w:rsidRPr="00847CA3">
        <w:rPr>
          <w:rFonts w:ascii="Arial" w:hAnsi="Arial" w:cs="Arial"/>
          <w:sz w:val="24"/>
          <w:szCs w:val="24"/>
        </w:rPr>
        <w:t xml:space="preserve">definitivamente </w:t>
      </w:r>
      <w:r w:rsidR="003E2E04" w:rsidRPr="00847CA3">
        <w:rPr>
          <w:rFonts w:ascii="Arial" w:hAnsi="Arial" w:cs="Arial"/>
          <w:sz w:val="24"/>
          <w:szCs w:val="24"/>
        </w:rPr>
        <w:t xml:space="preserve">puede influir en el nivel de la inversión privada, los datos utilizados son los del tipo de cambio nominal en relación con el dólar (promedio del período, venta). </w:t>
      </w:r>
    </w:p>
    <w:p w14:paraId="70BD553A" w14:textId="5F88E4F5" w:rsidR="003E2E04" w:rsidRPr="00847CA3" w:rsidRDefault="003E2E04" w:rsidP="00847CA3">
      <w:pPr>
        <w:spacing w:line="360" w:lineRule="auto"/>
        <w:jc w:val="both"/>
        <w:rPr>
          <w:rFonts w:ascii="Arial" w:hAnsi="Arial" w:cs="Arial"/>
          <w:sz w:val="24"/>
          <w:szCs w:val="24"/>
        </w:rPr>
      </w:pPr>
      <w:r w:rsidRPr="00847CA3">
        <w:rPr>
          <w:rFonts w:ascii="Arial" w:hAnsi="Arial" w:cs="Arial"/>
          <w:sz w:val="24"/>
          <w:szCs w:val="24"/>
        </w:rPr>
        <w:t xml:space="preserve">La magnitud de la deuda externa es una de las variables que representa la influencia de las restricciones del crédito externo en el financiamiento de las actividades productivas de los países. Según Servén y Solimano (1992), las bajas tasas de inversión durante los años ochenta reflejaron la caída de la transferencia de recursos externos a los países altamente endeudados, de ahí que otra variable que explica el modelo propuesto es la deuda externa como proporción del PIB que es este trabajo lo presento en miles de millones de pesos. </w:t>
      </w:r>
    </w:p>
    <w:p w14:paraId="462DB21A" w14:textId="0EC57E13" w:rsidR="003E2E04" w:rsidRPr="00847CA3" w:rsidRDefault="003E2E04" w:rsidP="00847CA3">
      <w:pPr>
        <w:spacing w:line="360" w:lineRule="auto"/>
        <w:jc w:val="both"/>
        <w:rPr>
          <w:rFonts w:ascii="Arial" w:hAnsi="Arial" w:cs="Arial"/>
          <w:sz w:val="24"/>
          <w:szCs w:val="24"/>
        </w:rPr>
      </w:pPr>
      <w:r w:rsidRPr="00847CA3">
        <w:rPr>
          <w:rFonts w:ascii="Arial" w:hAnsi="Arial" w:cs="Arial"/>
          <w:sz w:val="24"/>
          <w:szCs w:val="24"/>
        </w:rPr>
        <w:t>Para los autores la presencia de incertidumbre en el ambiente político y económico como lo presente en la pequeña introducción donde realizo puntual análisis sobre la coyuntura, un ambiente de indecisión puede tener una gran influencia en la disposición de invertir, pues si el futuro es incierto, cualquier aumento de la capacidad productiva presente puede dejar a la empresa con un exceso de capital, que no se podrá eliminar sin costos.</w:t>
      </w:r>
      <w:r w:rsidR="000471FA" w:rsidRPr="00847CA3">
        <w:rPr>
          <w:rFonts w:ascii="Arial" w:hAnsi="Arial" w:cs="Arial"/>
          <w:sz w:val="24"/>
          <w:szCs w:val="24"/>
        </w:rPr>
        <w:t xml:space="preserve"> La variación de la tasa de inflación se utiliza como una aproximación para evaluar las condiciones de incertidumbre en la economía. Los datos utilizados se refieren a la variación de la tasa de inflación calculada conforme al Índice Nacional de Precios al Consumidor (INPC) proporcionado por el INEGI. Una pequeña </w:t>
      </w:r>
      <w:r w:rsidR="00681F05" w:rsidRPr="00847CA3">
        <w:rPr>
          <w:rFonts w:ascii="Arial" w:hAnsi="Arial" w:cs="Arial"/>
          <w:sz w:val="24"/>
          <w:szCs w:val="24"/>
        </w:rPr>
        <w:t>proporción</w:t>
      </w:r>
      <w:r w:rsidR="000471FA" w:rsidRPr="00847CA3">
        <w:rPr>
          <w:rFonts w:ascii="Arial" w:hAnsi="Arial" w:cs="Arial"/>
          <w:sz w:val="24"/>
          <w:szCs w:val="24"/>
        </w:rPr>
        <w:t xml:space="preserve"> de los datos que van a </w:t>
      </w:r>
      <w:r w:rsidR="000471FA" w:rsidRPr="00847CA3">
        <w:rPr>
          <w:rFonts w:ascii="Arial" w:hAnsi="Arial" w:cs="Arial"/>
          <w:sz w:val="24"/>
          <w:szCs w:val="24"/>
        </w:rPr>
        <w:lastRenderedPageBreak/>
        <w:t xml:space="preserve">utilizarse en las variables explicativas sólo están disponibles con una periodicidad </w:t>
      </w:r>
      <w:r w:rsidR="00681F05" w:rsidRPr="00847CA3">
        <w:rPr>
          <w:rFonts w:ascii="Arial" w:hAnsi="Arial" w:cs="Arial"/>
          <w:sz w:val="24"/>
          <w:szCs w:val="24"/>
        </w:rPr>
        <w:t>mensual,</w:t>
      </w:r>
      <w:r w:rsidR="000471FA" w:rsidRPr="00847CA3">
        <w:rPr>
          <w:rFonts w:ascii="Arial" w:hAnsi="Arial" w:cs="Arial"/>
          <w:sz w:val="24"/>
          <w:szCs w:val="24"/>
        </w:rPr>
        <w:t xml:space="preserve"> pero hice la conversión a trimestral en donde </w:t>
      </w:r>
      <w:r w:rsidR="00681F05" w:rsidRPr="00847CA3">
        <w:rPr>
          <w:rFonts w:ascii="Arial" w:hAnsi="Arial" w:cs="Arial"/>
          <w:sz w:val="24"/>
          <w:szCs w:val="24"/>
        </w:rPr>
        <w:t>tenía</w:t>
      </w:r>
      <w:r w:rsidR="000471FA" w:rsidRPr="00847CA3">
        <w:rPr>
          <w:rFonts w:ascii="Arial" w:hAnsi="Arial" w:cs="Arial"/>
          <w:sz w:val="24"/>
          <w:szCs w:val="24"/>
        </w:rPr>
        <w:t xml:space="preserve"> la mayoría de las demás variables interpretativas. En el anexo estadístico realizado en Excel se pueden revisar los pasos para procesar la información y cambiarla de periodicidad </w:t>
      </w:r>
    </w:p>
    <w:p w14:paraId="5D46F85B" w14:textId="78AD3C62" w:rsidR="00E70317" w:rsidRDefault="000471FA" w:rsidP="00847CA3">
      <w:pPr>
        <w:spacing w:line="360" w:lineRule="auto"/>
        <w:jc w:val="both"/>
        <w:rPr>
          <w:rFonts w:ascii="Arial" w:hAnsi="Arial" w:cs="Arial"/>
          <w:sz w:val="24"/>
          <w:szCs w:val="24"/>
        </w:rPr>
      </w:pPr>
      <w:r w:rsidRPr="00847CA3">
        <w:rPr>
          <w:rFonts w:ascii="Arial" w:hAnsi="Arial" w:cs="Arial"/>
          <w:sz w:val="24"/>
          <w:szCs w:val="24"/>
        </w:rPr>
        <w:t xml:space="preserve">Los procedimientos econométricos se realizaron en distintas etapas, </w:t>
      </w:r>
      <w:r w:rsidR="00E2005F" w:rsidRPr="00847CA3">
        <w:rPr>
          <w:rFonts w:ascii="Arial" w:hAnsi="Arial" w:cs="Arial"/>
          <w:sz w:val="24"/>
          <w:szCs w:val="24"/>
        </w:rPr>
        <w:t>e</w:t>
      </w:r>
      <w:r w:rsidRPr="00847CA3">
        <w:rPr>
          <w:rFonts w:ascii="Arial" w:hAnsi="Arial" w:cs="Arial"/>
          <w:sz w:val="24"/>
          <w:szCs w:val="24"/>
        </w:rPr>
        <w:t>n el presente estudio, este modelo tiene a la inversión privada como variable endógena</w:t>
      </w:r>
      <w:r w:rsidR="00E2005F" w:rsidRPr="00847CA3">
        <w:rPr>
          <w:rFonts w:ascii="Arial" w:hAnsi="Arial" w:cs="Arial"/>
          <w:sz w:val="24"/>
          <w:szCs w:val="24"/>
        </w:rPr>
        <w:t xml:space="preserve">, </w:t>
      </w:r>
      <w:r w:rsidRPr="00847CA3">
        <w:rPr>
          <w:rFonts w:ascii="Arial" w:hAnsi="Arial" w:cs="Arial"/>
          <w:sz w:val="24"/>
          <w:szCs w:val="24"/>
        </w:rPr>
        <w:t xml:space="preserve">todo el análisis econométrico efectuado se utilizó </w:t>
      </w:r>
      <w:r w:rsidR="00E2005F" w:rsidRPr="00847CA3">
        <w:rPr>
          <w:rFonts w:ascii="Arial" w:hAnsi="Arial" w:cs="Arial"/>
          <w:sz w:val="24"/>
          <w:szCs w:val="24"/>
        </w:rPr>
        <w:t xml:space="preserve">en una primera ocasión sin </w:t>
      </w:r>
      <w:r w:rsidR="00681F05" w:rsidRPr="00847CA3">
        <w:rPr>
          <w:rFonts w:ascii="Arial" w:hAnsi="Arial" w:cs="Arial"/>
          <w:sz w:val="24"/>
          <w:szCs w:val="24"/>
        </w:rPr>
        <w:t>logaritmo</w:t>
      </w:r>
      <w:r w:rsidR="00E2005F" w:rsidRPr="00847CA3">
        <w:rPr>
          <w:rFonts w:ascii="Arial" w:hAnsi="Arial" w:cs="Arial"/>
          <w:sz w:val="24"/>
          <w:szCs w:val="24"/>
        </w:rPr>
        <w:t xml:space="preserve"> natural en ninguna variable y al </w:t>
      </w:r>
      <w:r w:rsidR="00681F05" w:rsidRPr="00847CA3">
        <w:rPr>
          <w:rFonts w:ascii="Arial" w:hAnsi="Arial" w:cs="Arial"/>
          <w:sz w:val="24"/>
          <w:szCs w:val="24"/>
        </w:rPr>
        <w:t>encontrar</w:t>
      </w:r>
      <w:r w:rsidR="00E2005F" w:rsidRPr="00847CA3">
        <w:rPr>
          <w:rFonts w:ascii="Arial" w:hAnsi="Arial" w:cs="Arial"/>
          <w:sz w:val="24"/>
          <w:szCs w:val="24"/>
        </w:rPr>
        <w:t xml:space="preserve"> problemas con </w:t>
      </w:r>
      <w:r w:rsidR="00E70317" w:rsidRPr="00847CA3">
        <w:rPr>
          <w:rFonts w:ascii="Arial" w:hAnsi="Arial" w:cs="Arial"/>
          <w:sz w:val="24"/>
          <w:szCs w:val="24"/>
        </w:rPr>
        <w:t xml:space="preserve">el modelo inicial con los siguientes resultados. </w:t>
      </w:r>
    </w:p>
    <w:p w14:paraId="28F263FA" w14:textId="75F248B5" w:rsidR="00FC3F51" w:rsidRDefault="00FC3F51" w:rsidP="00847CA3">
      <w:pPr>
        <w:spacing w:line="360" w:lineRule="auto"/>
        <w:jc w:val="both"/>
        <w:rPr>
          <w:rFonts w:ascii="Arial" w:hAnsi="Arial" w:cs="Arial"/>
          <w:sz w:val="24"/>
          <w:szCs w:val="24"/>
        </w:rPr>
      </w:pPr>
    </w:p>
    <w:p w14:paraId="6ADC2E41" w14:textId="1BE76009" w:rsidR="00FC3F51" w:rsidRDefault="00FC3F51" w:rsidP="00847CA3">
      <w:pPr>
        <w:spacing w:line="360" w:lineRule="auto"/>
        <w:jc w:val="both"/>
        <w:rPr>
          <w:rFonts w:ascii="Arial" w:hAnsi="Arial" w:cs="Arial"/>
          <w:sz w:val="24"/>
          <w:szCs w:val="24"/>
        </w:rPr>
      </w:pPr>
    </w:p>
    <w:p w14:paraId="165C0CD1" w14:textId="646475B5" w:rsidR="00FC3F51" w:rsidRDefault="00FC3F51" w:rsidP="00847CA3">
      <w:pPr>
        <w:spacing w:line="360" w:lineRule="auto"/>
        <w:jc w:val="both"/>
        <w:rPr>
          <w:rFonts w:ascii="Arial" w:hAnsi="Arial" w:cs="Arial"/>
          <w:sz w:val="24"/>
          <w:szCs w:val="24"/>
        </w:rPr>
      </w:pPr>
    </w:p>
    <w:p w14:paraId="7D047B0A" w14:textId="77777777" w:rsidR="00FC3F51" w:rsidRPr="00847CA3" w:rsidRDefault="00FC3F51" w:rsidP="00847CA3">
      <w:pPr>
        <w:spacing w:line="360" w:lineRule="auto"/>
        <w:jc w:val="both"/>
        <w:rPr>
          <w:rFonts w:ascii="Arial" w:hAnsi="Arial" w:cs="Arial"/>
          <w:sz w:val="24"/>
          <w:szCs w:val="24"/>
        </w:rPr>
      </w:pPr>
    </w:p>
    <w:p w14:paraId="24C64DB7" w14:textId="2FF12A1E" w:rsidR="00377B2C" w:rsidRPr="00FC3F51" w:rsidRDefault="00377B2C" w:rsidP="00847CA3">
      <w:pPr>
        <w:spacing w:line="360" w:lineRule="auto"/>
        <w:jc w:val="both"/>
        <w:rPr>
          <w:rFonts w:ascii="Arial" w:eastAsiaTheme="minorEastAsia" w:hAnsi="Arial" w:cs="Arial"/>
        </w:rPr>
      </w:pPr>
      <m:oMathPara>
        <m:oMath>
          <m:r>
            <w:rPr>
              <w:rFonts w:ascii="Cambria Math" w:hAnsi="Cambria Math" w:cs="Arial"/>
            </w:rPr>
            <m:t xml:space="preserve">FBKF privada=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logPIBconst</m:t>
          </m:r>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logTI-</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logFBKFpublica+</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logDEUDA-</m:t>
          </m:r>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r>
            <w:rPr>
              <w:rFonts w:ascii="Cambria Math" w:hAnsi="Cambria Math" w:cs="Arial"/>
            </w:rPr>
            <m:t>logINPC-</m:t>
          </m:r>
          <m:sSub>
            <m:sSubPr>
              <m:ctrlPr>
                <w:rPr>
                  <w:rFonts w:ascii="Cambria Math" w:hAnsi="Cambria Math" w:cs="Arial"/>
                  <w:i/>
                </w:rPr>
              </m:ctrlPr>
            </m:sSubPr>
            <m:e>
              <m:r>
                <w:rPr>
                  <w:rFonts w:ascii="Cambria Math" w:hAnsi="Cambria Math" w:cs="Arial"/>
                </w:rPr>
                <m:t>β</m:t>
              </m:r>
            </m:e>
            <m:sub>
              <m:r>
                <w:rPr>
                  <w:rFonts w:ascii="Cambria Math" w:hAnsi="Cambria Math" w:cs="Arial"/>
                </w:rPr>
                <m:t>6</m:t>
              </m:r>
            </m:sub>
          </m:sSub>
          <m:r>
            <w:rPr>
              <w:rFonts w:ascii="Cambria Math" w:hAnsi="Cambria Math" w:cs="Arial"/>
            </w:rPr>
            <m:t>logTdeC</m:t>
          </m:r>
        </m:oMath>
      </m:oMathPara>
    </w:p>
    <w:p w14:paraId="51E98190" w14:textId="061C41CA" w:rsidR="00FC3F51" w:rsidRDefault="00FC3F51" w:rsidP="00847CA3">
      <w:pPr>
        <w:spacing w:line="360" w:lineRule="auto"/>
        <w:jc w:val="both"/>
        <w:rPr>
          <w:rFonts w:ascii="Arial" w:eastAsiaTheme="minorEastAsia" w:hAnsi="Arial" w:cs="Arial"/>
        </w:rPr>
      </w:pPr>
    </w:p>
    <w:p w14:paraId="05149902" w14:textId="023EA52B" w:rsidR="00FC3F51" w:rsidRDefault="00FC3F51" w:rsidP="00847CA3">
      <w:pPr>
        <w:spacing w:line="360" w:lineRule="auto"/>
        <w:jc w:val="both"/>
        <w:rPr>
          <w:rFonts w:ascii="Arial" w:eastAsiaTheme="minorEastAsia" w:hAnsi="Arial" w:cs="Arial"/>
        </w:rPr>
      </w:pPr>
    </w:p>
    <w:p w14:paraId="38530204" w14:textId="6381316A" w:rsidR="00FC3F51" w:rsidRDefault="00FC3F51" w:rsidP="00847CA3">
      <w:pPr>
        <w:spacing w:line="360" w:lineRule="auto"/>
        <w:jc w:val="both"/>
        <w:rPr>
          <w:rFonts w:ascii="Arial" w:eastAsiaTheme="minorEastAsia" w:hAnsi="Arial" w:cs="Arial"/>
        </w:rPr>
      </w:pPr>
    </w:p>
    <w:p w14:paraId="6E5197CE" w14:textId="4B39B40B" w:rsidR="00FC3F51" w:rsidRDefault="00FC3F51" w:rsidP="00847CA3">
      <w:pPr>
        <w:spacing w:line="360" w:lineRule="auto"/>
        <w:jc w:val="both"/>
        <w:rPr>
          <w:rFonts w:ascii="Arial" w:eastAsiaTheme="minorEastAsia" w:hAnsi="Arial" w:cs="Arial"/>
        </w:rPr>
      </w:pPr>
    </w:p>
    <w:p w14:paraId="7FBCEDB9" w14:textId="0DF8C959" w:rsidR="00FC3F51" w:rsidRDefault="00FC3F51" w:rsidP="00847CA3">
      <w:pPr>
        <w:spacing w:line="360" w:lineRule="auto"/>
        <w:jc w:val="both"/>
        <w:rPr>
          <w:rFonts w:ascii="Arial" w:eastAsiaTheme="minorEastAsia" w:hAnsi="Arial" w:cs="Arial"/>
        </w:rPr>
      </w:pPr>
    </w:p>
    <w:p w14:paraId="1C51079E" w14:textId="6B9DF949" w:rsidR="00FC3F51" w:rsidRDefault="00FC3F51" w:rsidP="00847CA3">
      <w:pPr>
        <w:spacing w:line="360" w:lineRule="auto"/>
        <w:jc w:val="both"/>
        <w:rPr>
          <w:rFonts w:ascii="Arial" w:eastAsiaTheme="minorEastAsia" w:hAnsi="Arial" w:cs="Arial"/>
        </w:rPr>
      </w:pPr>
    </w:p>
    <w:p w14:paraId="26714AE6" w14:textId="63532A40" w:rsidR="00FC3F51" w:rsidRDefault="00FC3F51" w:rsidP="00847CA3">
      <w:pPr>
        <w:spacing w:line="360" w:lineRule="auto"/>
        <w:jc w:val="both"/>
        <w:rPr>
          <w:rFonts w:ascii="Arial" w:eastAsiaTheme="minorEastAsia" w:hAnsi="Arial" w:cs="Arial"/>
        </w:rPr>
      </w:pPr>
    </w:p>
    <w:p w14:paraId="0888CB25" w14:textId="02E60185" w:rsidR="00FC3F51" w:rsidRDefault="00FC3F51" w:rsidP="00847CA3">
      <w:pPr>
        <w:spacing w:line="360" w:lineRule="auto"/>
        <w:jc w:val="both"/>
        <w:rPr>
          <w:rFonts w:ascii="Arial" w:eastAsiaTheme="minorEastAsia" w:hAnsi="Arial" w:cs="Arial"/>
        </w:rPr>
      </w:pPr>
    </w:p>
    <w:p w14:paraId="4CD4EBD6" w14:textId="77777777" w:rsidR="00FC3F51" w:rsidRPr="00FC3F51" w:rsidRDefault="00FC3F51" w:rsidP="00847CA3">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1697"/>
        <w:gridCol w:w="1544"/>
        <w:gridCol w:w="1570"/>
        <w:gridCol w:w="4017"/>
      </w:tblGrid>
      <w:tr w:rsidR="00377B2C" w:rsidRPr="00847CA3" w14:paraId="6B21D36D" w14:textId="590802B7" w:rsidTr="006B7F32">
        <w:trPr>
          <w:trHeight w:val="193"/>
        </w:trPr>
        <w:tc>
          <w:tcPr>
            <w:tcW w:w="1506" w:type="dxa"/>
          </w:tcPr>
          <w:p w14:paraId="4DB68CD7" w14:textId="78347191"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lastRenderedPageBreak/>
              <w:t>Variable</w:t>
            </w:r>
          </w:p>
        </w:tc>
        <w:tc>
          <w:tcPr>
            <w:tcW w:w="1554" w:type="dxa"/>
          </w:tcPr>
          <w:p w14:paraId="6BDF2140" w14:textId="14E8CBB4" w:rsidR="00377B2C" w:rsidRPr="00847CA3" w:rsidRDefault="000A70DF" w:rsidP="00847CA3">
            <w:pPr>
              <w:spacing w:line="360" w:lineRule="auto"/>
              <w:jc w:val="center"/>
              <w:rPr>
                <w:rFonts w:ascii="Arial" w:hAnsi="Arial" w:cs="Arial"/>
                <w:sz w:val="24"/>
                <w:szCs w:val="24"/>
              </w:rPr>
            </w:pPr>
            <w:r w:rsidRPr="00847CA3">
              <w:rPr>
                <w:rFonts w:ascii="Arial" w:hAnsi="Arial" w:cs="Arial"/>
                <w:sz w:val="24"/>
                <w:szCs w:val="24"/>
              </w:rPr>
              <w:t>C</w:t>
            </w:r>
            <w:r w:rsidR="00377B2C" w:rsidRPr="00847CA3">
              <w:rPr>
                <w:rFonts w:ascii="Arial" w:hAnsi="Arial" w:cs="Arial"/>
                <w:sz w:val="24"/>
                <w:szCs w:val="24"/>
              </w:rPr>
              <w:t>oeficiente</w:t>
            </w:r>
          </w:p>
        </w:tc>
        <w:tc>
          <w:tcPr>
            <w:tcW w:w="1574" w:type="dxa"/>
          </w:tcPr>
          <w:p w14:paraId="4F29E6E2" w14:textId="4D96A05F"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Prob. t significancia individual</w:t>
            </w:r>
          </w:p>
        </w:tc>
        <w:tc>
          <w:tcPr>
            <w:tcW w:w="4194" w:type="dxa"/>
          </w:tcPr>
          <w:p w14:paraId="24F4B922"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 xml:space="preserve">R squared </w:t>
            </w:r>
          </w:p>
          <w:p w14:paraId="5B6F119C"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0.9120</w:t>
            </w:r>
          </w:p>
          <w:p w14:paraId="235D0AD0" w14:textId="4F0379B8"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Explica en un 91.20% las variables independientes a las variables dependientes</w:t>
            </w:r>
          </w:p>
        </w:tc>
      </w:tr>
      <w:tr w:rsidR="00377B2C" w:rsidRPr="00847CA3" w14:paraId="12B47D0A" w14:textId="77777777" w:rsidTr="00377B2C">
        <w:trPr>
          <w:trHeight w:val="1069"/>
        </w:trPr>
        <w:tc>
          <w:tcPr>
            <w:tcW w:w="1506" w:type="dxa"/>
          </w:tcPr>
          <w:p w14:paraId="29C383B7" w14:textId="1F4E846A"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C</w:t>
            </w:r>
          </w:p>
        </w:tc>
        <w:tc>
          <w:tcPr>
            <w:tcW w:w="1554" w:type="dxa"/>
          </w:tcPr>
          <w:p w14:paraId="4CA0BDED" w14:textId="5D083969"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-12.3205</w:t>
            </w:r>
          </w:p>
        </w:tc>
        <w:tc>
          <w:tcPr>
            <w:tcW w:w="1574" w:type="dxa"/>
          </w:tcPr>
          <w:p w14:paraId="57BF78DD"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0.0000</w:t>
            </w:r>
          </w:p>
          <w:p w14:paraId="4DA2FAA6" w14:textId="25CE0F53"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Significativo</w:t>
            </w:r>
          </w:p>
        </w:tc>
        <w:tc>
          <w:tcPr>
            <w:tcW w:w="4194" w:type="dxa"/>
          </w:tcPr>
          <w:p w14:paraId="379E4B80"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Prueba F</w:t>
            </w:r>
          </w:p>
          <w:p w14:paraId="33725357" w14:textId="0248FD8C"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 xml:space="preserve">Prob. 0.0000 </w:t>
            </w:r>
          </w:p>
          <w:p w14:paraId="5EE8593E" w14:textId="43F4043A"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Si es “eficiente” el modelo</w:t>
            </w:r>
          </w:p>
        </w:tc>
      </w:tr>
      <w:tr w:rsidR="00377B2C" w:rsidRPr="00847CA3" w14:paraId="10130EF5" w14:textId="77777777" w:rsidTr="006B7F32">
        <w:trPr>
          <w:trHeight w:val="119"/>
        </w:trPr>
        <w:tc>
          <w:tcPr>
            <w:tcW w:w="1506" w:type="dxa"/>
          </w:tcPr>
          <w:p w14:paraId="069CCCA3" w14:textId="1D252E2C"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PIB CONSTANTE</w:t>
            </w:r>
          </w:p>
        </w:tc>
        <w:tc>
          <w:tcPr>
            <w:tcW w:w="1554" w:type="dxa"/>
          </w:tcPr>
          <w:p w14:paraId="48634C47" w14:textId="1F8F48E3"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+1.6839</w:t>
            </w:r>
          </w:p>
        </w:tc>
        <w:tc>
          <w:tcPr>
            <w:tcW w:w="1574" w:type="dxa"/>
          </w:tcPr>
          <w:p w14:paraId="1A02C4F3"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0.0000</w:t>
            </w:r>
          </w:p>
          <w:p w14:paraId="24720913" w14:textId="0EF2AF74"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Significativo</w:t>
            </w:r>
          </w:p>
        </w:tc>
        <w:tc>
          <w:tcPr>
            <w:tcW w:w="4194" w:type="dxa"/>
            <w:vMerge w:val="restart"/>
          </w:tcPr>
          <w:p w14:paraId="3651CE4F" w14:textId="77777777" w:rsidR="00377B2C" w:rsidRPr="00847CA3" w:rsidRDefault="00377B2C" w:rsidP="00847CA3">
            <w:pPr>
              <w:spacing w:line="360" w:lineRule="auto"/>
              <w:jc w:val="center"/>
              <w:rPr>
                <w:rFonts w:ascii="Arial" w:hAnsi="Arial" w:cs="Arial"/>
                <w:sz w:val="24"/>
                <w:szCs w:val="24"/>
              </w:rPr>
            </w:pPr>
          </w:p>
          <w:p w14:paraId="476BDD3C" w14:textId="74C79591"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No tiene caso realizarle las demás pruebas por que como dijimos las variables explicativas no pasan las pruebas de significancia individual aun cuando según nuestra teoría económica es correcta</w:t>
            </w:r>
          </w:p>
        </w:tc>
      </w:tr>
      <w:tr w:rsidR="00377B2C" w:rsidRPr="00847CA3" w14:paraId="04E9FD98" w14:textId="77777777" w:rsidTr="006B7F32">
        <w:trPr>
          <w:trHeight w:val="222"/>
        </w:trPr>
        <w:tc>
          <w:tcPr>
            <w:tcW w:w="1506" w:type="dxa"/>
          </w:tcPr>
          <w:p w14:paraId="34139973" w14:textId="74EB633A"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TI</w:t>
            </w:r>
          </w:p>
        </w:tc>
        <w:tc>
          <w:tcPr>
            <w:tcW w:w="1554" w:type="dxa"/>
          </w:tcPr>
          <w:p w14:paraId="6EF28FCA" w14:textId="56EBFAD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+0.0450</w:t>
            </w:r>
          </w:p>
        </w:tc>
        <w:tc>
          <w:tcPr>
            <w:tcW w:w="1574" w:type="dxa"/>
          </w:tcPr>
          <w:p w14:paraId="411F95A4"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0.0923</w:t>
            </w:r>
          </w:p>
          <w:p w14:paraId="6A832F5E" w14:textId="3752C50E"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No significativa</w:t>
            </w:r>
          </w:p>
        </w:tc>
        <w:tc>
          <w:tcPr>
            <w:tcW w:w="4194" w:type="dxa"/>
            <w:vMerge/>
          </w:tcPr>
          <w:p w14:paraId="01B7D81A" w14:textId="77777777" w:rsidR="00377B2C" w:rsidRPr="00847CA3" w:rsidRDefault="00377B2C" w:rsidP="00847CA3">
            <w:pPr>
              <w:spacing w:line="360" w:lineRule="auto"/>
              <w:jc w:val="center"/>
              <w:rPr>
                <w:rFonts w:ascii="Arial" w:hAnsi="Arial" w:cs="Arial"/>
                <w:sz w:val="24"/>
                <w:szCs w:val="24"/>
              </w:rPr>
            </w:pPr>
          </w:p>
        </w:tc>
      </w:tr>
      <w:tr w:rsidR="00377B2C" w:rsidRPr="00847CA3" w14:paraId="797BEBCA" w14:textId="77777777" w:rsidTr="006B7F32">
        <w:trPr>
          <w:trHeight w:val="222"/>
        </w:trPr>
        <w:tc>
          <w:tcPr>
            <w:tcW w:w="1506" w:type="dxa"/>
          </w:tcPr>
          <w:p w14:paraId="75EB0A29" w14:textId="166E24B1"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FBKF PUB</w:t>
            </w:r>
          </w:p>
        </w:tc>
        <w:tc>
          <w:tcPr>
            <w:tcW w:w="1554" w:type="dxa"/>
          </w:tcPr>
          <w:p w14:paraId="54F1C11A" w14:textId="071A78B2"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-0.0398</w:t>
            </w:r>
          </w:p>
        </w:tc>
        <w:tc>
          <w:tcPr>
            <w:tcW w:w="1574" w:type="dxa"/>
          </w:tcPr>
          <w:p w14:paraId="07BF21A8"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0.3134</w:t>
            </w:r>
          </w:p>
          <w:p w14:paraId="5989E62C" w14:textId="0EB049CB"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No significativa</w:t>
            </w:r>
          </w:p>
        </w:tc>
        <w:tc>
          <w:tcPr>
            <w:tcW w:w="4194" w:type="dxa"/>
            <w:vMerge/>
          </w:tcPr>
          <w:p w14:paraId="0E7A00C3" w14:textId="77777777" w:rsidR="00377B2C" w:rsidRPr="00847CA3" w:rsidRDefault="00377B2C" w:rsidP="00847CA3">
            <w:pPr>
              <w:spacing w:line="360" w:lineRule="auto"/>
              <w:jc w:val="center"/>
              <w:rPr>
                <w:rFonts w:ascii="Arial" w:hAnsi="Arial" w:cs="Arial"/>
                <w:sz w:val="24"/>
                <w:szCs w:val="24"/>
              </w:rPr>
            </w:pPr>
          </w:p>
        </w:tc>
      </w:tr>
      <w:tr w:rsidR="00377B2C" w:rsidRPr="00847CA3" w14:paraId="65C30C83" w14:textId="77777777" w:rsidTr="006B7F32">
        <w:trPr>
          <w:trHeight w:val="236"/>
        </w:trPr>
        <w:tc>
          <w:tcPr>
            <w:tcW w:w="1506" w:type="dxa"/>
          </w:tcPr>
          <w:p w14:paraId="2A188EB6" w14:textId="5FEC618D"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DEUDA PUB</w:t>
            </w:r>
          </w:p>
        </w:tc>
        <w:tc>
          <w:tcPr>
            <w:tcW w:w="1554" w:type="dxa"/>
          </w:tcPr>
          <w:p w14:paraId="0B27A8EC" w14:textId="7980CB6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+0.0677</w:t>
            </w:r>
          </w:p>
        </w:tc>
        <w:tc>
          <w:tcPr>
            <w:tcW w:w="1574" w:type="dxa"/>
          </w:tcPr>
          <w:p w14:paraId="0D07024D"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0.0823</w:t>
            </w:r>
          </w:p>
          <w:p w14:paraId="0B88202F" w14:textId="2C5CB22F"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No significativo</w:t>
            </w:r>
          </w:p>
        </w:tc>
        <w:tc>
          <w:tcPr>
            <w:tcW w:w="4194" w:type="dxa"/>
            <w:vMerge/>
          </w:tcPr>
          <w:p w14:paraId="4B2BAE1B" w14:textId="77777777" w:rsidR="00377B2C" w:rsidRPr="00847CA3" w:rsidRDefault="00377B2C" w:rsidP="00847CA3">
            <w:pPr>
              <w:spacing w:line="360" w:lineRule="auto"/>
              <w:jc w:val="center"/>
              <w:rPr>
                <w:rFonts w:ascii="Arial" w:hAnsi="Arial" w:cs="Arial"/>
                <w:sz w:val="24"/>
                <w:szCs w:val="24"/>
              </w:rPr>
            </w:pPr>
          </w:p>
        </w:tc>
      </w:tr>
      <w:tr w:rsidR="00377B2C" w:rsidRPr="00847CA3" w14:paraId="1E535567" w14:textId="77777777" w:rsidTr="006B7F32">
        <w:trPr>
          <w:trHeight w:val="133"/>
        </w:trPr>
        <w:tc>
          <w:tcPr>
            <w:tcW w:w="1506" w:type="dxa"/>
          </w:tcPr>
          <w:p w14:paraId="5771690C" w14:textId="1CFEC932"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TdeC</w:t>
            </w:r>
          </w:p>
        </w:tc>
        <w:tc>
          <w:tcPr>
            <w:tcW w:w="1554" w:type="dxa"/>
          </w:tcPr>
          <w:p w14:paraId="34D7DD69" w14:textId="200DB8E4"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-0.0673</w:t>
            </w:r>
          </w:p>
        </w:tc>
        <w:tc>
          <w:tcPr>
            <w:tcW w:w="1574" w:type="dxa"/>
          </w:tcPr>
          <w:p w14:paraId="20C449F7"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0.1061</w:t>
            </w:r>
          </w:p>
          <w:p w14:paraId="5855CCC6" w14:textId="5A4AD99C"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No significativo</w:t>
            </w:r>
          </w:p>
        </w:tc>
        <w:tc>
          <w:tcPr>
            <w:tcW w:w="4194" w:type="dxa"/>
            <w:vMerge/>
          </w:tcPr>
          <w:p w14:paraId="340E294E" w14:textId="77777777" w:rsidR="00377B2C" w:rsidRPr="00847CA3" w:rsidRDefault="00377B2C" w:rsidP="00847CA3">
            <w:pPr>
              <w:spacing w:line="360" w:lineRule="auto"/>
              <w:jc w:val="center"/>
              <w:rPr>
                <w:rFonts w:ascii="Arial" w:hAnsi="Arial" w:cs="Arial"/>
                <w:sz w:val="24"/>
                <w:szCs w:val="24"/>
              </w:rPr>
            </w:pPr>
          </w:p>
        </w:tc>
      </w:tr>
      <w:tr w:rsidR="00377B2C" w:rsidRPr="00847CA3" w14:paraId="3059CFDE" w14:textId="77777777" w:rsidTr="006B7F32">
        <w:trPr>
          <w:trHeight w:val="180"/>
        </w:trPr>
        <w:tc>
          <w:tcPr>
            <w:tcW w:w="1506" w:type="dxa"/>
          </w:tcPr>
          <w:p w14:paraId="021DC608" w14:textId="3C8674CA"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INPC</w:t>
            </w:r>
          </w:p>
        </w:tc>
        <w:tc>
          <w:tcPr>
            <w:tcW w:w="1554" w:type="dxa"/>
          </w:tcPr>
          <w:p w14:paraId="4B42D31C" w14:textId="51653469"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-0.2455</w:t>
            </w:r>
          </w:p>
        </w:tc>
        <w:tc>
          <w:tcPr>
            <w:tcW w:w="1574" w:type="dxa"/>
          </w:tcPr>
          <w:p w14:paraId="122DA66B" w14:textId="77777777"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0.0100</w:t>
            </w:r>
          </w:p>
          <w:p w14:paraId="5DA9A779" w14:textId="750AE72C" w:rsidR="00377B2C" w:rsidRPr="00847CA3" w:rsidRDefault="00377B2C" w:rsidP="00847CA3">
            <w:pPr>
              <w:spacing w:line="360" w:lineRule="auto"/>
              <w:jc w:val="center"/>
              <w:rPr>
                <w:rFonts w:ascii="Arial" w:hAnsi="Arial" w:cs="Arial"/>
                <w:sz w:val="24"/>
                <w:szCs w:val="24"/>
              </w:rPr>
            </w:pPr>
            <w:r w:rsidRPr="00847CA3">
              <w:rPr>
                <w:rFonts w:ascii="Arial" w:hAnsi="Arial" w:cs="Arial"/>
                <w:sz w:val="24"/>
                <w:szCs w:val="24"/>
              </w:rPr>
              <w:t xml:space="preserve">Significativo </w:t>
            </w:r>
          </w:p>
        </w:tc>
        <w:tc>
          <w:tcPr>
            <w:tcW w:w="4194" w:type="dxa"/>
            <w:vMerge/>
          </w:tcPr>
          <w:p w14:paraId="748F165C" w14:textId="77777777" w:rsidR="00377B2C" w:rsidRPr="00847CA3" w:rsidRDefault="00377B2C" w:rsidP="00847CA3">
            <w:pPr>
              <w:spacing w:line="360" w:lineRule="auto"/>
              <w:jc w:val="center"/>
              <w:rPr>
                <w:rFonts w:ascii="Arial" w:hAnsi="Arial" w:cs="Arial"/>
                <w:sz w:val="24"/>
                <w:szCs w:val="24"/>
              </w:rPr>
            </w:pPr>
          </w:p>
        </w:tc>
      </w:tr>
    </w:tbl>
    <w:p w14:paraId="4176853E" w14:textId="77777777" w:rsidR="00E70317" w:rsidRPr="00847CA3" w:rsidRDefault="00E70317" w:rsidP="00847CA3">
      <w:pPr>
        <w:spacing w:line="360" w:lineRule="auto"/>
        <w:jc w:val="both"/>
        <w:rPr>
          <w:rFonts w:ascii="Arial" w:hAnsi="Arial" w:cs="Arial"/>
          <w:sz w:val="24"/>
          <w:szCs w:val="24"/>
        </w:rPr>
      </w:pPr>
    </w:p>
    <w:p w14:paraId="579722A3" w14:textId="77777777" w:rsidR="00EE177F" w:rsidRPr="00847CA3" w:rsidRDefault="00EE177F" w:rsidP="00847CA3">
      <w:pPr>
        <w:spacing w:line="360" w:lineRule="auto"/>
        <w:jc w:val="both"/>
        <w:rPr>
          <w:rFonts w:ascii="Arial" w:hAnsi="Arial" w:cs="Arial"/>
          <w:sz w:val="24"/>
          <w:szCs w:val="24"/>
        </w:rPr>
      </w:pPr>
    </w:p>
    <w:p w14:paraId="6592A678" w14:textId="1D35F356" w:rsidR="00E2005F" w:rsidRPr="00847CA3" w:rsidRDefault="00E2005F" w:rsidP="00847CA3">
      <w:pPr>
        <w:spacing w:line="360" w:lineRule="auto"/>
        <w:jc w:val="both"/>
        <w:rPr>
          <w:rFonts w:ascii="Arial" w:hAnsi="Arial" w:cs="Arial"/>
          <w:sz w:val="24"/>
          <w:szCs w:val="24"/>
        </w:rPr>
      </w:pPr>
      <w:r w:rsidRPr="00847CA3">
        <w:rPr>
          <w:rFonts w:ascii="Arial" w:hAnsi="Arial" w:cs="Arial"/>
          <w:sz w:val="24"/>
          <w:szCs w:val="24"/>
        </w:rPr>
        <w:t xml:space="preserve">Con el fin de </w:t>
      </w:r>
      <w:r w:rsidR="000A70DF" w:rsidRPr="00847CA3">
        <w:rPr>
          <w:rFonts w:ascii="Arial" w:hAnsi="Arial" w:cs="Arial"/>
          <w:sz w:val="24"/>
          <w:szCs w:val="24"/>
        </w:rPr>
        <w:t xml:space="preserve">solucionar el problema de elección de variables que </w:t>
      </w:r>
      <w:r w:rsidR="00176EDE" w:rsidRPr="00847CA3">
        <w:rPr>
          <w:rFonts w:ascii="Arial" w:hAnsi="Arial" w:cs="Arial"/>
          <w:sz w:val="24"/>
          <w:szCs w:val="24"/>
        </w:rPr>
        <w:t>tenía</w:t>
      </w:r>
      <w:r w:rsidR="000A70DF" w:rsidRPr="00847CA3">
        <w:rPr>
          <w:rFonts w:ascii="Arial" w:hAnsi="Arial" w:cs="Arial"/>
          <w:sz w:val="24"/>
          <w:szCs w:val="24"/>
        </w:rPr>
        <w:t xml:space="preserve"> el modelo inicial</w:t>
      </w:r>
      <w:r w:rsidR="00377B2C" w:rsidRPr="00847CA3">
        <w:rPr>
          <w:rFonts w:ascii="Arial" w:hAnsi="Arial" w:cs="Arial"/>
          <w:sz w:val="24"/>
          <w:szCs w:val="24"/>
        </w:rPr>
        <w:t xml:space="preserve"> y poder trabajar un modelo</w:t>
      </w:r>
      <w:r w:rsidRPr="00847CA3">
        <w:rPr>
          <w:rFonts w:ascii="Arial" w:hAnsi="Arial" w:cs="Arial"/>
          <w:sz w:val="24"/>
          <w:szCs w:val="24"/>
        </w:rPr>
        <w:t xml:space="preserve">, </w:t>
      </w:r>
      <w:r w:rsidR="00681F05" w:rsidRPr="00847CA3">
        <w:rPr>
          <w:rFonts w:ascii="Arial" w:hAnsi="Arial" w:cs="Arial"/>
          <w:sz w:val="24"/>
          <w:szCs w:val="24"/>
        </w:rPr>
        <w:t>decidí</w:t>
      </w:r>
      <w:r w:rsidRPr="00847CA3">
        <w:rPr>
          <w:rFonts w:ascii="Arial" w:hAnsi="Arial" w:cs="Arial"/>
          <w:sz w:val="24"/>
          <w:szCs w:val="24"/>
        </w:rPr>
        <w:t xml:space="preserve"> estimar por separado </w:t>
      </w:r>
      <w:r w:rsidR="00CC1D6E" w:rsidRPr="00847CA3">
        <w:rPr>
          <w:rFonts w:ascii="Arial" w:hAnsi="Arial" w:cs="Arial"/>
          <w:sz w:val="24"/>
          <w:szCs w:val="24"/>
        </w:rPr>
        <w:t>un modelo</w:t>
      </w:r>
      <w:r w:rsidR="00402471" w:rsidRPr="00847CA3">
        <w:rPr>
          <w:rFonts w:ascii="Arial" w:hAnsi="Arial" w:cs="Arial"/>
          <w:sz w:val="24"/>
          <w:szCs w:val="24"/>
        </w:rPr>
        <w:t xml:space="preserve">, con </w:t>
      </w:r>
      <w:r w:rsidR="00176EDE" w:rsidRPr="00847CA3">
        <w:rPr>
          <w:rFonts w:ascii="Arial" w:hAnsi="Arial" w:cs="Arial"/>
          <w:sz w:val="24"/>
          <w:szCs w:val="24"/>
        </w:rPr>
        <w:t xml:space="preserve">el </w:t>
      </w:r>
      <w:r w:rsidR="00402471" w:rsidRPr="00847CA3">
        <w:rPr>
          <w:rFonts w:ascii="Arial" w:hAnsi="Arial" w:cs="Arial"/>
          <w:sz w:val="24"/>
          <w:szCs w:val="24"/>
        </w:rPr>
        <w:t xml:space="preserve">nombre </w:t>
      </w:r>
      <w:r w:rsidR="00176EDE" w:rsidRPr="00847CA3">
        <w:rPr>
          <w:rFonts w:ascii="Arial" w:hAnsi="Arial" w:cs="Arial"/>
          <w:i/>
          <w:iCs/>
          <w:smallCaps/>
          <w:sz w:val="24"/>
          <w:szCs w:val="24"/>
        </w:rPr>
        <w:t>MODELOVERSUS para</w:t>
      </w:r>
      <w:r w:rsidRPr="00847CA3">
        <w:rPr>
          <w:rFonts w:ascii="Arial" w:hAnsi="Arial" w:cs="Arial"/>
          <w:sz w:val="24"/>
          <w:szCs w:val="24"/>
        </w:rPr>
        <w:t xml:space="preserve"> la inversión privada tiene</w:t>
      </w:r>
      <w:r w:rsidR="00402471" w:rsidRPr="00847CA3">
        <w:rPr>
          <w:rFonts w:ascii="Arial" w:hAnsi="Arial" w:cs="Arial"/>
          <w:sz w:val="24"/>
          <w:szCs w:val="24"/>
        </w:rPr>
        <w:t xml:space="preserve"> </w:t>
      </w:r>
      <w:r w:rsidRPr="00847CA3">
        <w:rPr>
          <w:rFonts w:ascii="Arial" w:hAnsi="Arial" w:cs="Arial"/>
          <w:sz w:val="24"/>
          <w:szCs w:val="24"/>
        </w:rPr>
        <w:t>como variable</w:t>
      </w:r>
      <w:r w:rsidR="00402471" w:rsidRPr="00847CA3">
        <w:rPr>
          <w:rFonts w:ascii="Arial" w:hAnsi="Arial" w:cs="Arial"/>
          <w:sz w:val="24"/>
          <w:szCs w:val="24"/>
        </w:rPr>
        <w:t>s</w:t>
      </w:r>
      <w:r w:rsidRPr="00847CA3">
        <w:rPr>
          <w:rFonts w:ascii="Arial" w:hAnsi="Arial" w:cs="Arial"/>
          <w:sz w:val="24"/>
          <w:szCs w:val="24"/>
        </w:rPr>
        <w:t xml:space="preserve"> explicativa</w:t>
      </w:r>
      <w:r w:rsidR="00402471" w:rsidRPr="00847CA3">
        <w:rPr>
          <w:rFonts w:ascii="Arial" w:hAnsi="Arial" w:cs="Arial"/>
          <w:sz w:val="24"/>
          <w:szCs w:val="24"/>
        </w:rPr>
        <w:t xml:space="preserve">s a la deuda pública, el INPC y la tasa de interés, de esta forma cubro la </w:t>
      </w:r>
      <w:r w:rsidR="00402471" w:rsidRPr="00847CA3">
        <w:rPr>
          <w:rFonts w:ascii="Arial" w:hAnsi="Arial" w:cs="Arial"/>
          <w:sz w:val="24"/>
          <w:szCs w:val="24"/>
        </w:rPr>
        <w:lastRenderedPageBreak/>
        <w:t>parte de la incertidumbre y de la restricción de crédito externo para las actividades productivas del país con referencia también a la tasa de interés</w:t>
      </w:r>
      <w:r w:rsidRPr="00847CA3">
        <w:rPr>
          <w:rFonts w:ascii="Arial" w:hAnsi="Arial" w:cs="Arial"/>
          <w:sz w:val="24"/>
          <w:szCs w:val="24"/>
        </w:rPr>
        <w:t>.</w:t>
      </w:r>
    </w:p>
    <w:p w14:paraId="5EF49BDE" w14:textId="77777777" w:rsidR="00E70317" w:rsidRPr="00847CA3" w:rsidRDefault="00681F05" w:rsidP="00847CA3">
      <w:pPr>
        <w:spacing w:line="360" w:lineRule="auto"/>
        <w:jc w:val="both"/>
        <w:rPr>
          <w:rFonts w:ascii="Arial" w:hAnsi="Arial" w:cs="Arial"/>
          <w:sz w:val="24"/>
          <w:szCs w:val="24"/>
        </w:rPr>
      </w:pPr>
      <w:r w:rsidRPr="00847CA3">
        <w:rPr>
          <w:rFonts w:ascii="Arial" w:hAnsi="Arial" w:cs="Arial"/>
          <w:sz w:val="24"/>
          <w:szCs w:val="24"/>
        </w:rPr>
        <w:t xml:space="preserve">Se integró la ecuación </w:t>
      </w:r>
      <w:r w:rsidRPr="00847CA3">
        <w:rPr>
          <w:rFonts w:ascii="Arial" w:hAnsi="Arial" w:cs="Arial"/>
          <w:i/>
          <w:iCs/>
          <w:smallCaps/>
          <w:sz w:val="24"/>
          <w:szCs w:val="24"/>
        </w:rPr>
        <w:t xml:space="preserve">Modeloversus </w:t>
      </w:r>
      <w:r w:rsidRPr="00847CA3">
        <w:rPr>
          <w:rFonts w:ascii="Arial" w:hAnsi="Arial" w:cs="Arial"/>
          <w:sz w:val="24"/>
          <w:szCs w:val="24"/>
        </w:rPr>
        <w:t xml:space="preserve">donde el logaritmo natural se integró solo en las series de las variables FBKF privada como variable dependiente y en la variable correspondiente a la deuda pública, las demás variables no se le aplico por que considero que no es necesario por que implican valores muy bajos por lo tanto este modelo también corresponde a un </w:t>
      </w:r>
      <w:r w:rsidR="005D6C1F" w:rsidRPr="00847CA3">
        <w:rPr>
          <w:rFonts w:ascii="Arial" w:hAnsi="Arial" w:cs="Arial"/>
          <w:sz w:val="24"/>
          <w:szCs w:val="24"/>
        </w:rPr>
        <w:t>semilog.</w:t>
      </w:r>
    </w:p>
    <w:p w14:paraId="1F972624" w14:textId="28D71A35" w:rsidR="00E70317" w:rsidRPr="00847CA3" w:rsidRDefault="00E70317" w:rsidP="00847CA3">
      <w:pPr>
        <w:spacing w:line="360" w:lineRule="auto"/>
        <w:jc w:val="both"/>
        <w:rPr>
          <w:rFonts w:ascii="Arial" w:hAnsi="Arial" w:cs="Arial"/>
          <w:sz w:val="24"/>
          <w:szCs w:val="24"/>
        </w:rPr>
      </w:pPr>
    </w:p>
    <w:p w14:paraId="7FE0706E" w14:textId="0A420729" w:rsidR="00E2005F" w:rsidRPr="00847CA3" w:rsidRDefault="00F869F7" w:rsidP="00847CA3">
      <w:pPr>
        <w:spacing w:line="360" w:lineRule="auto"/>
        <w:jc w:val="center"/>
        <w:rPr>
          <w:rFonts w:ascii="Arial" w:hAnsi="Arial" w:cs="Arial"/>
          <w:b/>
          <w:smallCaps/>
          <w:sz w:val="24"/>
          <w:szCs w:val="24"/>
        </w:rPr>
      </w:pPr>
      <w:r w:rsidRPr="00847CA3">
        <w:rPr>
          <w:rFonts w:ascii="Arial" w:hAnsi="Arial" w:cs="Arial"/>
          <w:b/>
          <w:smallCaps/>
          <w:sz w:val="24"/>
          <w:szCs w:val="24"/>
        </w:rPr>
        <w:t>Análisis de los resultados econométricos</w:t>
      </w:r>
    </w:p>
    <w:p w14:paraId="221961B9" w14:textId="4A7282D5" w:rsidR="00E70317" w:rsidRPr="00847CA3" w:rsidRDefault="00E70317" w:rsidP="00847CA3">
      <w:pPr>
        <w:spacing w:line="360" w:lineRule="auto"/>
        <w:jc w:val="center"/>
        <w:rPr>
          <w:rFonts w:ascii="Arial" w:hAnsi="Arial" w:cs="Arial"/>
          <w:b/>
          <w:smallCaps/>
          <w:sz w:val="24"/>
          <w:szCs w:val="24"/>
        </w:rPr>
      </w:pPr>
      <w:r w:rsidRPr="00847CA3">
        <w:rPr>
          <w:rFonts w:ascii="Arial" w:hAnsi="Arial" w:cs="Arial"/>
          <w:b/>
          <w:smallCaps/>
          <w:sz w:val="24"/>
          <w:szCs w:val="24"/>
        </w:rPr>
        <w:t>Modelo</w:t>
      </w:r>
      <w:r w:rsidR="00CC1D6E">
        <w:rPr>
          <w:rFonts w:ascii="Arial" w:hAnsi="Arial" w:cs="Arial"/>
          <w:b/>
          <w:smallCaps/>
          <w:sz w:val="24"/>
          <w:szCs w:val="24"/>
        </w:rPr>
        <w:t xml:space="preserve"> versus</w:t>
      </w:r>
    </w:p>
    <w:p w14:paraId="4F10DD8A" w14:textId="666CDE24" w:rsidR="005E1C8D" w:rsidRPr="00847CA3" w:rsidRDefault="00EE177F" w:rsidP="00847CA3">
      <w:pPr>
        <w:spacing w:line="360" w:lineRule="auto"/>
        <w:jc w:val="both"/>
        <w:rPr>
          <w:rFonts w:ascii="Arial" w:eastAsiaTheme="minorEastAsia" w:hAnsi="Arial" w:cs="Arial"/>
          <w:bCs/>
          <w:sz w:val="24"/>
          <w:szCs w:val="24"/>
        </w:rPr>
      </w:pPr>
      <m:oMathPara>
        <m:oMath>
          <m:r>
            <w:rPr>
              <w:rFonts w:ascii="Cambria Math" w:hAnsi="Cambria Math" w:cs="Arial"/>
              <w:sz w:val="24"/>
              <w:szCs w:val="24"/>
            </w:rPr>
            <m:t>FBKF privada=</m:t>
          </m:r>
          <m:r>
            <w:rPr>
              <w:rFonts w:ascii="Cambria Math" w:hAnsi="Cambria Math" w:cs="Arial"/>
              <w:sz w:val="24"/>
              <w:szCs w:val="24"/>
            </w:rPr>
            <m:t>13</m:t>
          </m:r>
          <m:r>
            <w:rPr>
              <w:rFonts w:ascii="Cambria Math" w:hAnsi="Cambria Math" w:cs="Arial"/>
              <w:sz w:val="24"/>
              <w:szCs w:val="24"/>
            </w:rPr>
            <m:t>.</m:t>
          </m:r>
          <m:r>
            <w:rPr>
              <w:rFonts w:ascii="Cambria Math" w:hAnsi="Cambria Math" w:cs="Arial"/>
              <w:sz w:val="24"/>
              <w:szCs w:val="24"/>
            </w:rPr>
            <m:t>5189+0.0</m:t>
          </m:r>
          <m:r>
            <w:rPr>
              <w:rFonts w:ascii="Cambria Math" w:hAnsi="Cambria Math" w:cs="Arial"/>
              <w:sz w:val="24"/>
              <w:szCs w:val="24"/>
            </w:rPr>
            <m:t>982</m:t>
          </m:r>
          <m:r>
            <w:rPr>
              <w:rFonts w:ascii="Cambria Math" w:hAnsi="Cambria Math" w:cs="Arial"/>
              <w:sz w:val="24"/>
              <w:szCs w:val="24"/>
            </w:rPr>
            <m:t>log</m:t>
          </m:r>
          <m:r>
            <w:rPr>
              <w:rFonts w:ascii="Cambria Math" w:hAnsi="Cambria Math" w:cs="Arial"/>
              <w:sz w:val="24"/>
              <w:szCs w:val="24"/>
            </w:rPr>
            <m:t xml:space="preserve">DEUDAP+0.0618INPC+0.0150TI </m:t>
          </m:r>
          <m:r>
            <w:rPr>
              <w:rFonts w:ascii="Arial" w:eastAsiaTheme="minorEastAsia" w:hAnsi="Arial" w:cs="Arial"/>
              <w:bCs/>
              <w:sz w:val="24"/>
              <w:szCs w:val="24"/>
            </w:rPr>
            <w:br/>
          </m:r>
        </m:oMath>
        <m:oMath>
          <m:d>
            <m:dPr>
              <m:ctrlPr>
                <w:rPr>
                  <w:rFonts w:ascii="Cambria Math" w:eastAsiaTheme="minorEastAsia" w:hAnsi="Cambria Math" w:cs="Arial"/>
                  <w:bCs/>
                  <w:i/>
                  <w:sz w:val="24"/>
                  <w:szCs w:val="24"/>
                </w:rPr>
              </m:ctrlPr>
            </m:dPr>
            <m:e>
              <m:r>
                <w:rPr>
                  <w:rFonts w:ascii="Cambria Math" w:eastAsiaTheme="minorEastAsia" w:hAnsi="Cambria Math" w:cs="Arial"/>
                  <w:sz w:val="24"/>
                  <w:szCs w:val="24"/>
                </w:rPr>
                <m:t>estadistica t</m:t>
              </m:r>
            </m:e>
          </m:d>
          <m:r>
            <w:rPr>
              <w:rFonts w:ascii="Cambria Math" w:eastAsiaTheme="minorEastAsia" w:hAnsi="Cambria Math" w:cs="Arial"/>
              <w:sz w:val="24"/>
              <w:szCs w:val="24"/>
            </w:rPr>
            <m:t xml:space="preserve">     </m:t>
          </m:r>
          <m:d>
            <m:dPr>
              <m:ctrlPr>
                <w:rPr>
                  <w:rFonts w:ascii="Cambria Math" w:eastAsiaTheme="minorEastAsia" w:hAnsi="Cambria Math" w:cs="Arial"/>
                  <w:bCs/>
                  <w:i/>
                  <w:sz w:val="24"/>
                  <w:szCs w:val="24"/>
                </w:rPr>
              </m:ctrlPr>
            </m:dPr>
            <m:e>
              <m:r>
                <w:rPr>
                  <w:rFonts w:ascii="Cambria Math" w:eastAsiaTheme="minorEastAsia" w:hAnsi="Cambria Math" w:cs="Arial"/>
                  <w:sz w:val="24"/>
                  <w:szCs w:val="24"/>
                </w:rPr>
                <m:t>0.0000</m:t>
              </m:r>
            </m:e>
          </m:d>
          <m:r>
            <w:rPr>
              <w:rFonts w:ascii="Cambria Math" w:eastAsiaTheme="minorEastAsia" w:hAnsi="Cambria Math" w:cs="Arial"/>
              <w:sz w:val="24"/>
              <w:szCs w:val="24"/>
            </w:rPr>
            <m:t xml:space="preserve">     </m:t>
          </m:r>
          <m:d>
            <m:dPr>
              <m:ctrlPr>
                <w:rPr>
                  <w:rFonts w:ascii="Cambria Math" w:eastAsiaTheme="minorEastAsia" w:hAnsi="Cambria Math" w:cs="Arial"/>
                  <w:bCs/>
                  <w:i/>
                  <w:sz w:val="24"/>
                  <w:szCs w:val="24"/>
                </w:rPr>
              </m:ctrlPr>
            </m:dPr>
            <m:e>
              <m:r>
                <w:rPr>
                  <w:rFonts w:ascii="Cambria Math" w:eastAsiaTheme="minorEastAsia" w:hAnsi="Cambria Math" w:cs="Arial"/>
                  <w:sz w:val="24"/>
                  <w:szCs w:val="24"/>
                </w:rPr>
                <m:t>0.0056</m:t>
              </m:r>
            </m:e>
          </m:d>
          <m:r>
            <w:rPr>
              <w:rFonts w:ascii="Cambria Math" w:eastAsiaTheme="minorEastAsia" w:hAnsi="Cambria Math" w:cs="Arial"/>
              <w:sz w:val="24"/>
              <w:szCs w:val="24"/>
            </w:rPr>
            <m:t xml:space="preserve">                          </m:t>
          </m:r>
          <m:d>
            <m:dPr>
              <m:ctrlPr>
                <w:rPr>
                  <w:rFonts w:ascii="Cambria Math" w:eastAsiaTheme="minorEastAsia" w:hAnsi="Cambria Math" w:cs="Arial"/>
                  <w:bCs/>
                  <w:i/>
                  <w:sz w:val="24"/>
                  <w:szCs w:val="24"/>
                </w:rPr>
              </m:ctrlPr>
            </m:dPr>
            <m:e>
              <m:r>
                <w:rPr>
                  <w:rFonts w:ascii="Cambria Math" w:eastAsiaTheme="minorEastAsia" w:hAnsi="Cambria Math" w:cs="Arial"/>
                  <w:sz w:val="24"/>
                  <w:szCs w:val="24"/>
                </w:rPr>
                <m:t>0.0001</m:t>
              </m:r>
            </m:e>
          </m:d>
          <m:r>
            <w:rPr>
              <w:rFonts w:ascii="Cambria Math" w:eastAsiaTheme="minorEastAsia" w:hAnsi="Cambria Math" w:cs="Arial"/>
              <w:sz w:val="24"/>
              <w:szCs w:val="24"/>
            </w:rPr>
            <m:t xml:space="preserve">             (0.0000)        </m:t>
          </m:r>
        </m:oMath>
      </m:oMathPara>
    </w:p>
    <w:p w14:paraId="677A237D" w14:textId="1461E762" w:rsidR="00176EDE" w:rsidRPr="00847CA3" w:rsidRDefault="005E1C8D" w:rsidP="00847CA3">
      <w:pPr>
        <w:spacing w:line="360" w:lineRule="auto"/>
        <w:jc w:val="both"/>
        <w:rPr>
          <w:rFonts w:ascii="Arial" w:eastAsiaTheme="minorEastAsia" w:hAnsi="Arial" w:cs="Arial"/>
          <w:bCs/>
          <w:sz w:val="24"/>
          <w:szCs w:val="24"/>
        </w:rPr>
      </w:pPr>
      <m:oMathPara>
        <m:oMath>
          <m:sSup>
            <m:sSupPr>
              <m:ctrlPr>
                <w:rPr>
                  <w:rFonts w:ascii="Cambria Math" w:hAnsi="Cambria Math" w:cs="Arial"/>
                  <w:bCs/>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=0.8391       F estadistica  prob.=</m:t>
          </m:r>
          <m:r>
            <w:rPr>
              <w:rFonts w:ascii="Cambria Math" w:eastAsiaTheme="minorEastAsia" w:hAnsi="Cambria Math" w:cs="Arial"/>
              <w:sz w:val="24"/>
              <w:szCs w:val="24"/>
            </w:rPr>
            <m:t>0.0000        Durbin-Watson stat 0.6065</m:t>
          </m:r>
        </m:oMath>
      </m:oMathPara>
    </w:p>
    <w:p w14:paraId="0AF66635" w14:textId="08D64190" w:rsidR="000A378B" w:rsidRPr="00847CA3" w:rsidRDefault="000A378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Para descartar problemas de multicolinealidad hacemos las regresiones auxiliares</w:t>
      </w:r>
    </w:p>
    <w:p w14:paraId="1BBCD439" w14:textId="40289B7B" w:rsidR="000A378B" w:rsidRPr="00847CA3" w:rsidRDefault="000A378B" w:rsidP="00847CA3">
      <w:pPr>
        <w:spacing w:line="360" w:lineRule="auto"/>
        <w:jc w:val="both"/>
        <w:rPr>
          <w:rFonts w:ascii="Arial" w:eastAsiaTheme="minorEastAsia" w:hAnsi="Arial" w:cs="Arial"/>
          <w:bCs/>
          <w:sz w:val="24"/>
          <w:szCs w:val="24"/>
        </w:rPr>
      </w:pPr>
      <m:oMathPara>
        <m:oMath>
          <m:r>
            <w:rPr>
              <w:rFonts w:ascii="Cambria Math" w:hAnsi="Cambria Math" w:cs="Arial"/>
              <w:sz w:val="24"/>
              <w:szCs w:val="24"/>
            </w:rPr>
            <m:t>logDEUDAP=13.5189+0.0982FBKF privada+0.0618INPC+0.0150TI</m:t>
          </m:r>
          <m:r>
            <w:rPr>
              <w:rFonts w:ascii="Cambria Math" w:hAnsi="Cambria Math" w:cs="Arial"/>
              <w:sz w:val="24"/>
              <w:szCs w:val="24"/>
            </w:rPr>
            <w:br/>
          </m:r>
        </m:oMath>
        <m:oMath>
          <m:sSup>
            <m:sSupPr>
              <m:ctrlPr>
                <w:rPr>
                  <w:rFonts w:ascii="Cambria Math" w:eastAsiaTheme="minorEastAsia" w:hAnsi="Cambria Math" w:cs="Arial"/>
                  <w:bCs/>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r>
            <w:rPr>
              <w:rFonts w:ascii="Cambria Math" w:eastAsiaTheme="minorEastAsia" w:hAnsi="Cambria Math" w:cs="Arial"/>
              <w:sz w:val="24"/>
              <w:szCs w:val="24"/>
            </w:rPr>
            <m:t>=88.1536</m:t>
          </m:r>
        </m:oMath>
      </m:oMathPara>
    </w:p>
    <w:p w14:paraId="70E19DAA" w14:textId="5A82BFC8" w:rsidR="006B7F32" w:rsidRPr="00847CA3" w:rsidRDefault="006B7F32"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Podemos decir que tenemos problemas de multicolinealidad en por el R squared superior a nuestra regresión, se puede corregir este problema eliminando una variable. Pero continuare con las demás pruebas.</w:t>
      </w:r>
    </w:p>
    <w:p w14:paraId="24EE23B9" w14:textId="55A63FF6" w:rsidR="005E1C8D" w:rsidRPr="00847CA3" w:rsidRDefault="00BB27B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Tenemos correlación de primer orden según el estadístico Durbin Watson lo confirmamos con la prueba Breusch-Godfrey LM Test y confirmamos con la probabilidad de 0.0000 que tenemos correlación en primer orden.</w:t>
      </w:r>
    </w:p>
    <w:p w14:paraId="562C76A8" w14:textId="4FB26D46" w:rsidR="00BB27BB" w:rsidRPr="00847CA3" w:rsidRDefault="00BB27B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Y observamos que los residuos son significativos con un rezago</w:t>
      </w:r>
    </w:p>
    <w:p w14:paraId="0B16FA9D" w14:textId="336D2E1D" w:rsidR="00BB27BB" w:rsidRPr="00847CA3" w:rsidRDefault="00BB27B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 xml:space="preserve">Ahora realizando la misma </w:t>
      </w:r>
      <w:r w:rsidR="00CC1D6E" w:rsidRPr="00847CA3">
        <w:rPr>
          <w:rFonts w:ascii="Arial" w:eastAsiaTheme="minorEastAsia" w:hAnsi="Arial" w:cs="Arial"/>
          <w:bCs/>
          <w:sz w:val="24"/>
          <w:szCs w:val="24"/>
        </w:rPr>
        <w:t>prueba,</w:t>
      </w:r>
      <w:r w:rsidRPr="00847CA3">
        <w:rPr>
          <w:rFonts w:ascii="Arial" w:eastAsiaTheme="minorEastAsia" w:hAnsi="Arial" w:cs="Arial"/>
          <w:bCs/>
          <w:sz w:val="24"/>
          <w:szCs w:val="24"/>
        </w:rPr>
        <w:t xml:space="preserve"> pero con 2 rezagos y </w:t>
      </w:r>
      <w:r w:rsidR="00CC1D6E" w:rsidRPr="00847CA3">
        <w:rPr>
          <w:rFonts w:ascii="Arial" w:eastAsiaTheme="minorEastAsia" w:hAnsi="Arial" w:cs="Arial"/>
          <w:bCs/>
          <w:sz w:val="24"/>
          <w:szCs w:val="24"/>
        </w:rPr>
        <w:t>observamos</w:t>
      </w:r>
      <w:r w:rsidRPr="00847CA3">
        <w:rPr>
          <w:rFonts w:ascii="Arial" w:eastAsiaTheme="minorEastAsia" w:hAnsi="Arial" w:cs="Arial"/>
          <w:bCs/>
          <w:sz w:val="24"/>
          <w:szCs w:val="24"/>
        </w:rPr>
        <w:t xml:space="preserve"> </w:t>
      </w:r>
      <w:r w:rsidR="00CC1D6E" w:rsidRPr="00847CA3">
        <w:rPr>
          <w:rFonts w:ascii="Arial" w:eastAsiaTheme="minorEastAsia" w:hAnsi="Arial" w:cs="Arial"/>
          <w:bCs/>
          <w:sz w:val="24"/>
          <w:szCs w:val="24"/>
        </w:rPr>
        <w:t>que solo</w:t>
      </w:r>
      <w:r w:rsidRPr="00847CA3">
        <w:rPr>
          <w:rFonts w:ascii="Arial" w:eastAsiaTheme="minorEastAsia" w:hAnsi="Arial" w:cs="Arial"/>
          <w:bCs/>
          <w:sz w:val="24"/>
          <w:szCs w:val="24"/>
        </w:rPr>
        <w:t xml:space="preserve"> presenta autocorrelación de primer orden</w:t>
      </w:r>
    </w:p>
    <w:p w14:paraId="179B43A8" w14:textId="1EA3748C" w:rsidR="00BB27BB" w:rsidRPr="00847CA3" w:rsidRDefault="00BB27B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lastRenderedPageBreak/>
        <w:t xml:space="preserve">Para continuar la evaluación del modelo comprobé la </w:t>
      </w:r>
      <w:r w:rsidR="000A378B" w:rsidRPr="00847CA3">
        <w:rPr>
          <w:rFonts w:ascii="Arial" w:eastAsiaTheme="minorEastAsia" w:hAnsi="Arial" w:cs="Arial"/>
          <w:bCs/>
          <w:sz w:val="24"/>
          <w:szCs w:val="24"/>
        </w:rPr>
        <w:t xml:space="preserve">normalidad de los errores con la prueba Jarque-Bera con un histograma de los errores en EViews y obtenemos un Jarque-Bera 1.58 y una probabilidad de 0.4518 lo que es mayor a 0.05 quiere decir que los </w:t>
      </w:r>
      <w:r w:rsidR="00CC1D6E" w:rsidRPr="00847CA3">
        <w:rPr>
          <w:rFonts w:ascii="Arial" w:eastAsiaTheme="minorEastAsia" w:hAnsi="Arial" w:cs="Arial"/>
          <w:bCs/>
          <w:sz w:val="24"/>
          <w:szCs w:val="24"/>
        </w:rPr>
        <w:t>errores se</w:t>
      </w:r>
      <w:r w:rsidR="000A378B" w:rsidRPr="00847CA3">
        <w:rPr>
          <w:rFonts w:ascii="Arial" w:eastAsiaTheme="minorEastAsia" w:hAnsi="Arial" w:cs="Arial"/>
          <w:bCs/>
          <w:sz w:val="24"/>
          <w:szCs w:val="24"/>
        </w:rPr>
        <w:t xml:space="preserve"> </w:t>
      </w:r>
      <w:r w:rsidR="00CC1D6E" w:rsidRPr="00847CA3">
        <w:rPr>
          <w:rFonts w:ascii="Arial" w:eastAsiaTheme="minorEastAsia" w:hAnsi="Arial" w:cs="Arial"/>
          <w:bCs/>
          <w:sz w:val="24"/>
          <w:szCs w:val="24"/>
        </w:rPr>
        <w:t>comportan</w:t>
      </w:r>
      <w:r w:rsidR="000A378B" w:rsidRPr="00847CA3">
        <w:rPr>
          <w:rFonts w:ascii="Arial" w:eastAsiaTheme="minorEastAsia" w:hAnsi="Arial" w:cs="Arial"/>
          <w:bCs/>
          <w:sz w:val="24"/>
          <w:szCs w:val="24"/>
        </w:rPr>
        <w:t xml:space="preserve"> de manera normal.</w:t>
      </w:r>
    </w:p>
    <w:p w14:paraId="59F98D15" w14:textId="65461118" w:rsidR="000A378B" w:rsidRPr="00847CA3" w:rsidRDefault="006B7F32"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 xml:space="preserve">Supuesto de Heterocedasticidad de los errores </w:t>
      </w:r>
      <w:r w:rsidR="00DD5DAB" w:rsidRPr="00847CA3">
        <w:rPr>
          <w:rFonts w:ascii="Arial" w:eastAsiaTheme="minorEastAsia" w:hAnsi="Arial" w:cs="Arial"/>
          <w:bCs/>
          <w:sz w:val="24"/>
          <w:szCs w:val="24"/>
        </w:rPr>
        <w:t xml:space="preserve">realizando la prueba White vamos a revisa la R squared que debe ser menor a 5.99 con 2 </w:t>
      </w:r>
      <w:r w:rsidR="00CC1D6E" w:rsidRPr="00847CA3">
        <w:rPr>
          <w:rFonts w:ascii="Arial" w:eastAsiaTheme="minorEastAsia" w:hAnsi="Arial" w:cs="Arial"/>
          <w:bCs/>
          <w:i/>
          <w:iCs/>
          <w:sz w:val="24"/>
          <w:szCs w:val="24"/>
        </w:rPr>
        <w:t xml:space="preserve">gl, </w:t>
      </w:r>
      <w:r w:rsidR="00CC1D6E" w:rsidRPr="00847CA3">
        <w:rPr>
          <w:rFonts w:ascii="Arial" w:eastAsiaTheme="minorEastAsia" w:hAnsi="Arial" w:cs="Arial"/>
          <w:bCs/>
          <w:sz w:val="24"/>
          <w:szCs w:val="24"/>
        </w:rPr>
        <w:t>pero</w:t>
      </w:r>
      <w:r w:rsidR="00DD5DAB" w:rsidRPr="00847CA3">
        <w:rPr>
          <w:rFonts w:ascii="Arial" w:eastAsiaTheme="minorEastAsia" w:hAnsi="Arial" w:cs="Arial"/>
          <w:bCs/>
          <w:sz w:val="24"/>
          <w:szCs w:val="24"/>
        </w:rPr>
        <w:t xml:space="preserve"> comprobamos que la R squared y el p value nos dicen que rechazamos que la muestra es homocedastic</w:t>
      </w:r>
      <w:r w:rsidR="00CC1D6E">
        <w:rPr>
          <w:rFonts w:ascii="Arial" w:eastAsiaTheme="minorEastAsia" w:hAnsi="Arial" w:cs="Arial"/>
          <w:bCs/>
          <w:sz w:val="24"/>
          <w:szCs w:val="24"/>
        </w:rPr>
        <w:t>idad</w:t>
      </w:r>
      <w:r w:rsidR="00DD5DAB" w:rsidRPr="00847CA3">
        <w:rPr>
          <w:rFonts w:ascii="Arial" w:eastAsiaTheme="minorEastAsia" w:hAnsi="Arial" w:cs="Arial"/>
          <w:bCs/>
          <w:sz w:val="24"/>
          <w:szCs w:val="24"/>
        </w:rPr>
        <w:t xml:space="preserve"> y quedamos en que el modelo tiene errores heteroce</w:t>
      </w:r>
      <w:r w:rsidR="00CC1D6E">
        <w:rPr>
          <w:rFonts w:ascii="Arial" w:eastAsiaTheme="minorEastAsia" w:hAnsi="Arial" w:cs="Arial"/>
          <w:bCs/>
          <w:sz w:val="24"/>
          <w:szCs w:val="24"/>
        </w:rPr>
        <w:t>d</w:t>
      </w:r>
      <w:r w:rsidR="00DD5DAB" w:rsidRPr="00847CA3">
        <w:rPr>
          <w:rFonts w:ascii="Arial" w:eastAsiaTheme="minorEastAsia" w:hAnsi="Arial" w:cs="Arial"/>
          <w:bCs/>
          <w:sz w:val="24"/>
          <w:szCs w:val="24"/>
        </w:rPr>
        <w:t>astico</w:t>
      </w:r>
      <w:r w:rsidR="00CC1D6E">
        <w:rPr>
          <w:rFonts w:ascii="Arial" w:eastAsiaTheme="minorEastAsia" w:hAnsi="Arial" w:cs="Arial"/>
          <w:bCs/>
          <w:sz w:val="24"/>
          <w:szCs w:val="24"/>
        </w:rPr>
        <w:t>s</w:t>
      </w:r>
      <w:r w:rsidR="00DD5DAB" w:rsidRPr="00847CA3">
        <w:rPr>
          <w:rFonts w:ascii="Arial" w:eastAsiaTheme="minorEastAsia" w:hAnsi="Arial" w:cs="Arial"/>
          <w:bCs/>
          <w:sz w:val="24"/>
          <w:szCs w:val="24"/>
        </w:rPr>
        <w:t>, los podemos corregir con una regresión de errores estándar, corriendo de nuevo una regresión White.</w:t>
      </w:r>
    </w:p>
    <w:p w14:paraId="0430A156" w14:textId="70E805B6" w:rsidR="00DD5DAB" w:rsidRPr="00847CA3" w:rsidRDefault="00DD5DA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 xml:space="preserve">Conclusión. </w:t>
      </w:r>
    </w:p>
    <w:p w14:paraId="44197C3A" w14:textId="442DCF35" w:rsidR="00847CA3" w:rsidRDefault="00DD5DAB" w:rsidP="00847CA3">
      <w:pPr>
        <w:spacing w:line="360" w:lineRule="auto"/>
        <w:jc w:val="both"/>
        <w:rPr>
          <w:rFonts w:ascii="Arial" w:eastAsiaTheme="minorEastAsia" w:hAnsi="Arial" w:cs="Arial"/>
          <w:bCs/>
          <w:sz w:val="24"/>
          <w:szCs w:val="24"/>
        </w:rPr>
      </w:pPr>
      <w:r w:rsidRPr="00847CA3">
        <w:rPr>
          <w:rFonts w:ascii="Arial" w:eastAsiaTheme="minorEastAsia" w:hAnsi="Arial" w:cs="Arial"/>
          <w:bCs/>
          <w:sz w:val="24"/>
          <w:szCs w:val="24"/>
        </w:rPr>
        <w:t xml:space="preserve">El modelo estimado según </w:t>
      </w:r>
      <w:r w:rsidR="00CC1D6E" w:rsidRPr="00847CA3">
        <w:rPr>
          <w:rFonts w:ascii="Arial" w:eastAsiaTheme="minorEastAsia" w:hAnsi="Arial" w:cs="Arial"/>
          <w:bCs/>
          <w:sz w:val="24"/>
          <w:szCs w:val="24"/>
        </w:rPr>
        <w:t>los</w:t>
      </w:r>
      <w:r w:rsidRPr="00847CA3">
        <w:rPr>
          <w:rFonts w:ascii="Arial" w:eastAsiaTheme="minorEastAsia" w:hAnsi="Arial" w:cs="Arial"/>
          <w:bCs/>
          <w:sz w:val="24"/>
          <w:szCs w:val="24"/>
        </w:rPr>
        <w:t xml:space="preserve"> autores </w:t>
      </w:r>
      <w:r w:rsidR="00847CA3" w:rsidRPr="00847CA3">
        <w:rPr>
          <w:rFonts w:ascii="Arial" w:eastAsiaTheme="minorEastAsia" w:hAnsi="Arial" w:cs="Arial"/>
          <w:bCs/>
          <w:sz w:val="24"/>
          <w:szCs w:val="24"/>
        </w:rPr>
        <w:t xml:space="preserve">citados </w:t>
      </w:r>
      <w:r w:rsidRPr="00847CA3">
        <w:rPr>
          <w:rFonts w:ascii="Arial" w:eastAsiaTheme="minorEastAsia" w:hAnsi="Arial" w:cs="Arial"/>
          <w:bCs/>
          <w:sz w:val="24"/>
          <w:szCs w:val="24"/>
        </w:rPr>
        <w:t xml:space="preserve">no pasa los supuestos de los errores y entonces el modelo no es eficiente y tampoco cumple con normalidad desde los drasticidad autocorrelación y estabilidad y multi con linealidad entonces debo de tener un error en la estimación en la elección de variables </w:t>
      </w:r>
      <w:r w:rsidR="00CC1D6E" w:rsidRPr="00847CA3">
        <w:rPr>
          <w:rFonts w:ascii="Arial" w:eastAsiaTheme="minorEastAsia" w:hAnsi="Arial" w:cs="Arial"/>
          <w:bCs/>
          <w:sz w:val="24"/>
          <w:szCs w:val="24"/>
        </w:rPr>
        <w:t>aun</w:t>
      </w:r>
      <w:r w:rsidRPr="00847CA3">
        <w:rPr>
          <w:rFonts w:ascii="Arial" w:eastAsiaTheme="minorEastAsia" w:hAnsi="Arial" w:cs="Arial"/>
          <w:bCs/>
          <w:sz w:val="24"/>
          <w:szCs w:val="24"/>
        </w:rPr>
        <w:t xml:space="preserve"> cuando seguí la tesis de los autores citados anteriormente y debo destacar que evaluando las variables función como variable dependiente la formación bruta de capital fijo privado contra las demás variables independientes como lo es el índice nacional de precios al consumidor la mayor parte del capital fijo pública la deuda como porcentaje del PIB en miles de millones de pesos el tipo de cambio y </w:t>
      </w:r>
      <w:r w:rsidR="00847CA3" w:rsidRPr="00847CA3">
        <w:rPr>
          <w:rFonts w:ascii="Arial" w:eastAsiaTheme="minorEastAsia" w:hAnsi="Arial" w:cs="Arial"/>
          <w:bCs/>
          <w:sz w:val="24"/>
          <w:szCs w:val="24"/>
        </w:rPr>
        <w:t xml:space="preserve">la tasa de interés de referencia e no en todos los modelos se cumplía que eran significativos al menos en la prueba individual de pero si eran más representativos que las pruebas de los modelos que hiciera aún con modelos regresivos auxiliares esto quiere decir que seguramente tuve una mala elección de variables si no corregir los problemas porque creo que ya no era necesario corregirlo se puede ser modelo estaban mal enfocado </w:t>
      </w:r>
      <w:r w:rsidR="00CC1D6E" w:rsidRPr="00847CA3">
        <w:rPr>
          <w:rFonts w:ascii="Arial" w:eastAsiaTheme="minorEastAsia" w:hAnsi="Arial" w:cs="Arial"/>
          <w:bCs/>
          <w:sz w:val="24"/>
          <w:szCs w:val="24"/>
        </w:rPr>
        <w:t>aun</w:t>
      </w:r>
      <w:r w:rsidR="00847CA3" w:rsidRPr="00847CA3">
        <w:rPr>
          <w:rFonts w:ascii="Arial" w:eastAsiaTheme="minorEastAsia" w:hAnsi="Arial" w:cs="Arial"/>
          <w:bCs/>
          <w:sz w:val="24"/>
          <w:szCs w:val="24"/>
        </w:rPr>
        <w:t xml:space="preserve"> cuando se seleccionaron las variables que estuvieran citadas en la revista 74 de la comisión económica para América Latina y el Caribe en el caso de Brasil como determinantes de la inversión así quiero llegar a las conclusiones del que aprendí al menos a estimar ya puedes realizar las pruebas para los supuestos de un modelo de regresión en la revisión espuria no es la realicé por el mismo motivo creí que no </w:t>
      </w:r>
      <w:r w:rsidR="00847CA3" w:rsidRPr="00847CA3">
        <w:rPr>
          <w:rFonts w:ascii="Arial" w:eastAsiaTheme="minorEastAsia" w:hAnsi="Arial" w:cs="Arial"/>
          <w:bCs/>
          <w:sz w:val="24"/>
          <w:szCs w:val="24"/>
        </w:rPr>
        <w:lastRenderedPageBreak/>
        <w:t>era interesante saber si por ejemplo el número de nacimientos en Japón podría explicar la formación bruta de capital fijo privada la inversión privada En México y no lo estime porque realmente no tenía relación pero sin duda creo que puede podría explicarme de mejor forma podría obtener resultados en aspectos estadísticos y econométricos de mejor forma que el modelo que estimen y sería interesante pero no creo que sea lo correcto.</w:t>
      </w:r>
    </w:p>
    <w:p w14:paraId="29591D7D" w14:textId="447A3FCC" w:rsidR="00716312" w:rsidRPr="00847CA3" w:rsidRDefault="00702BEA" w:rsidP="00847CA3">
      <w:pPr>
        <w:spacing w:line="360" w:lineRule="auto"/>
        <w:jc w:val="both"/>
        <w:rPr>
          <w:rFonts w:ascii="Arial" w:hAnsi="Arial" w:cs="Arial"/>
          <w:sz w:val="24"/>
          <w:szCs w:val="24"/>
        </w:rPr>
      </w:pPr>
      <w:bookmarkStart w:id="0" w:name="_GoBack"/>
      <w:bookmarkEnd w:id="0"/>
      <w:r w:rsidRPr="00847CA3">
        <w:rPr>
          <w:rFonts w:ascii="Arial" w:hAnsi="Arial" w:cs="Arial"/>
          <w:sz w:val="24"/>
          <w:szCs w:val="24"/>
        </w:rPr>
        <w:t xml:space="preserve">Anexo </w:t>
      </w:r>
    </w:p>
    <w:p w14:paraId="0F7E3FD8" w14:textId="77777777" w:rsidR="00F15CFA" w:rsidRPr="00847CA3" w:rsidRDefault="00F15CFA" w:rsidP="00847CA3">
      <w:pPr>
        <w:spacing w:line="360" w:lineRule="auto"/>
        <w:jc w:val="both"/>
        <w:rPr>
          <w:rFonts w:ascii="Arial" w:hAnsi="Arial" w:cs="Arial"/>
          <w:sz w:val="24"/>
          <w:szCs w:val="24"/>
        </w:rPr>
        <w:sectPr w:rsidR="00F15CFA" w:rsidRPr="00847CA3">
          <w:headerReference w:type="default" r:id="rId9"/>
          <w:pgSz w:w="12240" w:h="15840"/>
          <w:pgMar w:top="1417" w:right="1701" w:bottom="1417" w:left="1701" w:header="708" w:footer="708" w:gutter="0"/>
          <w:cols w:space="708"/>
          <w:docGrid w:linePitch="360"/>
        </w:sectPr>
      </w:pPr>
    </w:p>
    <w:p w14:paraId="20EE5EC3" w14:textId="755B6998" w:rsidR="00702BEA" w:rsidRPr="00847CA3" w:rsidRDefault="00702BEA" w:rsidP="00847CA3">
      <w:pPr>
        <w:spacing w:line="360" w:lineRule="auto"/>
        <w:jc w:val="both"/>
        <w:rPr>
          <w:rFonts w:ascii="Arial" w:hAnsi="Arial" w:cs="Arial"/>
          <w:noProof/>
          <w:sz w:val="24"/>
          <w:szCs w:val="24"/>
        </w:rPr>
      </w:pPr>
      <w:r w:rsidRPr="00847CA3">
        <w:rPr>
          <w:rFonts w:ascii="Arial" w:hAnsi="Arial" w:cs="Arial"/>
          <w:sz w:val="24"/>
          <w:szCs w:val="24"/>
        </w:rPr>
        <w:t xml:space="preserve">La relación entre la deuda publica y la FBKF privada esta muestra una relación positiva, afirmando que entre mas deuda publica puede haber </w:t>
      </w:r>
      <w:r w:rsidR="00E70317" w:rsidRPr="00847CA3">
        <w:rPr>
          <w:rFonts w:ascii="Arial" w:hAnsi="Arial" w:cs="Arial"/>
          <w:sz w:val="24"/>
          <w:szCs w:val="24"/>
        </w:rPr>
        <w:t>más</w:t>
      </w:r>
      <w:r w:rsidRPr="00847CA3">
        <w:rPr>
          <w:rFonts w:ascii="Arial" w:hAnsi="Arial" w:cs="Arial"/>
          <w:sz w:val="24"/>
          <w:szCs w:val="24"/>
        </w:rPr>
        <w:t xml:space="preserve"> inversión privada.</w:t>
      </w:r>
      <w:r w:rsidR="00F15CFA" w:rsidRPr="00847CA3">
        <w:rPr>
          <w:rFonts w:ascii="Arial" w:hAnsi="Arial" w:cs="Arial"/>
          <w:noProof/>
          <w:sz w:val="24"/>
          <w:szCs w:val="24"/>
        </w:rPr>
        <w:t xml:space="preserve"> </w:t>
      </w:r>
      <w:r w:rsidR="00F15CFA" w:rsidRPr="00847CA3">
        <w:rPr>
          <w:rFonts w:ascii="Arial" w:hAnsi="Arial" w:cs="Arial"/>
          <w:noProof/>
          <w:sz w:val="24"/>
          <w:szCs w:val="24"/>
        </w:rPr>
        <w:drawing>
          <wp:inline distT="0" distB="0" distL="0" distR="0" wp14:anchorId="223495EF" wp14:editId="5BEA82F7">
            <wp:extent cx="2597908" cy="22040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6646" t="18716" r="25153" b="8533"/>
                    <a:stretch/>
                  </pic:blipFill>
                  <pic:spPr bwMode="auto">
                    <a:xfrm>
                      <a:off x="0" y="0"/>
                      <a:ext cx="2649411" cy="2247781"/>
                    </a:xfrm>
                    <a:prstGeom prst="rect">
                      <a:avLst/>
                    </a:prstGeom>
                    <a:ln>
                      <a:noFill/>
                    </a:ln>
                    <a:extLst>
                      <a:ext uri="{53640926-AAD7-44D8-BBD7-CCE9431645EC}">
                        <a14:shadowObscured xmlns:a14="http://schemas.microsoft.com/office/drawing/2010/main"/>
                      </a:ext>
                    </a:extLst>
                  </pic:spPr>
                </pic:pic>
              </a:graphicData>
            </a:graphic>
          </wp:inline>
        </w:drawing>
      </w:r>
    </w:p>
    <w:p w14:paraId="226B9C83" w14:textId="77777777" w:rsidR="00F869F7" w:rsidRPr="00847CA3" w:rsidRDefault="00F869F7" w:rsidP="00847CA3">
      <w:pPr>
        <w:spacing w:line="360" w:lineRule="auto"/>
        <w:jc w:val="both"/>
        <w:rPr>
          <w:rFonts w:ascii="Arial" w:hAnsi="Arial" w:cs="Arial"/>
          <w:sz w:val="24"/>
          <w:szCs w:val="24"/>
        </w:rPr>
      </w:pPr>
    </w:p>
    <w:p w14:paraId="4E19C639" w14:textId="4C135EBB" w:rsidR="00702BEA" w:rsidRPr="00847CA3" w:rsidRDefault="00702BEA" w:rsidP="00847CA3">
      <w:pPr>
        <w:spacing w:line="360" w:lineRule="auto"/>
        <w:jc w:val="both"/>
        <w:rPr>
          <w:rFonts w:ascii="Arial" w:hAnsi="Arial" w:cs="Arial"/>
          <w:sz w:val="24"/>
          <w:szCs w:val="24"/>
        </w:rPr>
      </w:pPr>
      <w:r w:rsidRPr="00847CA3">
        <w:rPr>
          <w:rFonts w:ascii="Arial" w:hAnsi="Arial" w:cs="Arial"/>
          <w:sz w:val="24"/>
          <w:szCs w:val="24"/>
        </w:rPr>
        <w:t xml:space="preserve">La grafica muestra la variación entre la Formación </w:t>
      </w:r>
      <w:r w:rsidR="00F15CFA" w:rsidRPr="00847CA3">
        <w:rPr>
          <w:rFonts w:ascii="Arial" w:hAnsi="Arial" w:cs="Arial"/>
          <w:sz w:val="24"/>
          <w:szCs w:val="24"/>
        </w:rPr>
        <w:t xml:space="preserve">bruta de capital </w:t>
      </w:r>
      <w:r w:rsidR="00E70317" w:rsidRPr="00847CA3">
        <w:rPr>
          <w:rFonts w:ascii="Arial" w:hAnsi="Arial" w:cs="Arial"/>
          <w:sz w:val="24"/>
          <w:szCs w:val="24"/>
        </w:rPr>
        <w:t>fijo-privada</w:t>
      </w:r>
      <w:r w:rsidR="00F15CFA" w:rsidRPr="00847CA3">
        <w:rPr>
          <w:rFonts w:ascii="Arial" w:hAnsi="Arial" w:cs="Arial"/>
          <w:sz w:val="24"/>
          <w:szCs w:val="24"/>
        </w:rPr>
        <w:t xml:space="preserve"> y </w:t>
      </w:r>
      <w:r w:rsidR="00E70317" w:rsidRPr="00847CA3">
        <w:rPr>
          <w:rFonts w:ascii="Arial" w:hAnsi="Arial" w:cs="Arial"/>
          <w:sz w:val="24"/>
          <w:szCs w:val="24"/>
        </w:rPr>
        <w:t>la formación</w:t>
      </w:r>
      <w:r w:rsidR="00F15CFA" w:rsidRPr="00847CA3">
        <w:rPr>
          <w:rFonts w:ascii="Arial" w:hAnsi="Arial" w:cs="Arial"/>
          <w:sz w:val="24"/>
          <w:szCs w:val="24"/>
        </w:rPr>
        <w:t xml:space="preserve"> bruta de capital publica no </w:t>
      </w:r>
      <w:r w:rsidR="00E70317" w:rsidRPr="00847CA3">
        <w:rPr>
          <w:rFonts w:ascii="Arial" w:hAnsi="Arial" w:cs="Arial"/>
          <w:sz w:val="24"/>
          <w:szCs w:val="24"/>
        </w:rPr>
        <w:t>expresa</w:t>
      </w:r>
      <w:r w:rsidR="00F15CFA" w:rsidRPr="00847CA3">
        <w:rPr>
          <w:rFonts w:ascii="Arial" w:hAnsi="Arial" w:cs="Arial"/>
          <w:sz w:val="24"/>
          <w:szCs w:val="24"/>
        </w:rPr>
        <w:t xml:space="preserve"> una relación son variaciones </w:t>
      </w:r>
      <w:r w:rsidR="00E70317" w:rsidRPr="00847CA3">
        <w:rPr>
          <w:rFonts w:ascii="Arial" w:hAnsi="Arial" w:cs="Arial"/>
          <w:sz w:val="24"/>
          <w:szCs w:val="24"/>
        </w:rPr>
        <w:t>aleatorias</w:t>
      </w:r>
      <w:r w:rsidR="00F15CFA" w:rsidRPr="00847CA3">
        <w:rPr>
          <w:rFonts w:ascii="Arial" w:hAnsi="Arial" w:cs="Arial"/>
          <w:sz w:val="24"/>
          <w:szCs w:val="24"/>
        </w:rPr>
        <w:t xml:space="preserve"> sin ninguna tendencia</w:t>
      </w:r>
    </w:p>
    <w:p w14:paraId="234293DB" w14:textId="60AB7C04" w:rsidR="00F15CFA" w:rsidRPr="00847CA3" w:rsidRDefault="00F15CFA" w:rsidP="00847CA3">
      <w:pPr>
        <w:spacing w:line="360" w:lineRule="auto"/>
        <w:jc w:val="both"/>
        <w:rPr>
          <w:rFonts w:ascii="Arial" w:hAnsi="Arial" w:cs="Arial"/>
          <w:sz w:val="24"/>
          <w:szCs w:val="24"/>
        </w:rPr>
      </w:pPr>
      <w:r w:rsidRPr="00847CA3">
        <w:rPr>
          <w:rFonts w:ascii="Arial" w:hAnsi="Arial" w:cs="Arial"/>
          <w:noProof/>
          <w:sz w:val="24"/>
          <w:szCs w:val="24"/>
        </w:rPr>
        <w:drawing>
          <wp:inline distT="0" distB="0" distL="0" distR="0" wp14:anchorId="2DC19972" wp14:editId="6D8DCDFA">
            <wp:extent cx="2495550" cy="21238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28" t="19320" r="26511" b="8231"/>
                    <a:stretch/>
                  </pic:blipFill>
                  <pic:spPr bwMode="auto">
                    <a:xfrm>
                      <a:off x="0" y="0"/>
                      <a:ext cx="2506214" cy="2132948"/>
                    </a:xfrm>
                    <a:prstGeom prst="rect">
                      <a:avLst/>
                    </a:prstGeom>
                    <a:ln>
                      <a:noFill/>
                    </a:ln>
                    <a:extLst>
                      <a:ext uri="{53640926-AAD7-44D8-BBD7-CCE9431645EC}">
                        <a14:shadowObscured xmlns:a14="http://schemas.microsoft.com/office/drawing/2010/main"/>
                      </a:ext>
                    </a:extLst>
                  </pic:spPr>
                </pic:pic>
              </a:graphicData>
            </a:graphic>
          </wp:inline>
        </w:drawing>
      </w:r>
    </w:p>
    <w:p w14:paraId="1094405A" w14:textId="77777777" w:rsidR="00F15CFA" w:rsidRPr="00847CA3" w:rsidRDefault="00F15CFA" w:rsidP="00847CA3">
      <w:pPr>
        <w:spacing w:line="360" w:lineRule="auto"/>
        <w:jc w:val="both"/>
        <w:rPr>
          <w:rFonts w:ascii="Arial" w:hAnsi="Arial" w:cs="Arial"/>
          <w:sz w:val="24"/>
          <w:szCs w:val="24"/>
        </w:rPr>
      </w:pPr>
    </w:p>
    <w:p w14:paraId="0BAFEE78" w14:textId="624BCA14" w:rsidR="00F15CFA" w:rsidRPr="00847CA3" w:rsidRDefault="00F15CFA" w:rsidP="00847CA3">
      <w:pPr>
        <w:spacing w:line="360" w:lineRule="auto"/>
        <w:jc w:val="both"/>
        <w:rPr>
          <w:rFonts w:ascii="Arial" w:hAnsi="Arial" w:cs="Arial"/>
          <w:sz w:val="24"/>
          <w:szCs w:val="24"/>
        </w:rPr>
        <w:sectPr w:rsidR="00F15CFA" w:rsidRPr="00847CA3" w:rsidSect="00F869F7">
          <w:type w:val="continuous"/>
          <w:pgSz w:w="12240" w:h="15840"/>
          <w:pgMar w:top="1417" w:right="1701" w:bottom="1417" w:left="1701" w:header="708" w:footer="708" w:gutter="0"/>
          <w:cols w:num="2" w:space="708"/>
          <w:docGrid w:linePitch="360"/>
        </w:sectPr>
      </w:pPr>
    </w:p>
    <w:p w14:paraId="09EBD07A" w14:textId="62D7605F" w:rsidR="00716312" w:rsidRPr="00847CA3" w:rsidRDefault="00F15CFA" w:rsidP="00847CA3">
      <w:pPr>
        <w:spacing w:line="360" w:lineRule="auto"/>
        <w:jc w:val="both"/>
        <w:rPr>
          <w:rFonts w:ascii="Arial" w:hAnsi="Arial" w:cs="Arial"/>
          <w:sz w:val="24"/>
          <w:szCs w:val="24"/>
        </w:rPr>
      </w:pPr>
      <w:r w:rsidRPr="00847CA3">
        <w:rPr>
          <w:rFonts w:ascii="Arial" w:hAnsi="Arial" w:cs="Arial"/>
          <w:sz w:val="24"/>
          <w:szCs w:val="24"/>
        </w:rPr>
        <w:t xml:space="preserve">El grafico correspondiente a la tasa de </w:t>
      </w:r>
      <w:r w:rsidR="00E70317" w:rsidRPr="00847CA3">
        <w:rPr>
          <w:rFonts w:ascii="Arial" w:hAnsi="Arial" w:cs="Arial"/>
          <w:sz w:val="24"/>
          <w:szCs w:val="24"/>
        </w:rPr>
        <w:t>interés</w:t>
      </w:r>
      <w:r w:rsidRPr="00847CA3">
        <w:rPr>
          <w:rFonts w:ascii="Arial" w:hAnsi="Arial" w:cs="Arial"/>
          <w:sz w:val="24"/>
          <w:szCs w:val="24"/>
        </w:rPr>
        <w:t xml:space="preserve"> y la FBKF privada marca una ligera relación negativa entre estas </w:t>
      </w:r>
      <w:r w:rsidRPr="00847CA3">
        <w:rPr>
          <w:rFonts w:ascii="Arial" w:hAnsi="Arial" w:cs="Arial"/>
          <w:sz w:val="24"/>
          <w:szCs w:val="24"/>
        </w:rPr>
        <w:lastRenderedPageBreak/>
        <w:t>dos</w:t>
      </w:r>
      <w:r w:rsidRPr="00847CA3">
        <w:rPr>
          <w:rFonts w:ascii="Arial" w:hAnsi="Arial" w:cs="Arial"/>
          <w:noProof/>
          <w:sz w:val="24"/>
          <w:szCs w:val="24"/>
        </w:rPr>
        <w:drawing>
          <wp:inline distT="0" distB="0" distL="0" distR="0" wp14:anchorId="68890228" wp14:editId="12DC69B2">
            <wp:extent cx="2581275" cy="209292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156" t="18716" r="22607" b="8834"/>
                    <a:stretch/>
                  </pic:blipFill>
                  <pic:spPr bwMode="auto">
                    <a:xfrm>
                      <a:off x="0" y="0"/>
                      <a:ext cx="2581275" cy="2092926"/>
                    </a:xfrm>
                    <a:prstGeom prst="rect">
                      <a:avLst/>
                    </a:prstGeom>
                    <a:ln>
                      <a:noFill/>
                    </a:ln>
                    <a:extLst>
                      <a:ext uri="{53640926-AAD7-44D8-BBD7-CCE9431645EC}">
                        <a14:shadowObscured xmlns:a14="http://schemas.microsoft.com/office/drawing/2010/main"/>
                      </a:ext>
                    </a:extLst>
                  </pic:spPr>
                </pic:pic>
              </a:graphicData>
            </a:graphic>
          </wp:inline>
        </w:drawing>
      </w:r>
    </w:p>
    <w:p w14:paraId="7BACC559" w14:textId="6C3753B1" w:rsidR="00F869F7" w:rsidRPr="00847CA3" w:rsidRDefault="00F869F7" w:rsidP="00847CA3">
      <w:pPr>
        <w:spacing w:line="360" w:lineRule="auto"/>
        <w:jc w:val="both"/>
        <w:rPr>
          <w:rFonts w:ascii="Arial" w:hAnsi="Arial" w:cs="Arial"/>
          <w:sz w:val="24"/>
          <w:szCs w:val="24"/>
        </w:rPr>
      </w:pPr>
    </w:p>
    <w:p w14:paraId="2192A2A4" w14:textId="5227A969" w:rsidR="00F869F7" w:rsidRPr="00847CA3" w:rsidRDefault="00F869F7" w:rsidP="00847CA3">
      <w:pPr>
        <w:spacing w:line="360" w:lineRule="auto"/>
        <w:jc w:val="both"/>
        <w:rPr>
          <w:rFonts w:ascii="Arial" w:hAnsi="Arial" w:cs="Arial"/>
          <w:sz w:val="24"/>
          <w:szCs w:val="24"/>
        </w:rPr>
      </w:pPr>
    </w:p>
    <w:p w14:paraId="569B0792" w14:textId="147E517F" w:rsidR="00F869F7" w:rsidRPr="00847CA3" w:rsidRDefault="00F869F7" w:rsidP="00847CA3">
      <w:pPr>
        <w:spacing w:line="360" w:lineRule="auto"/>
        <w:jc w:val="both"/>
        <w:rPr>
          <w:rFonts w:ascii="Arial" w:hAnsi="Arial" w:cs="Arial"/>
          <w:sz w:val="24"/>
          <w:szCs w:val="24"/>
        </w:rPr>
      </w:pPr>
    </w:p>
    <w:p w14:paraId="4D09265D" w14:textId="77777777" w:rsidR="00F869F7" w:rsidRPr="00847CA3" w:rsidRDefault="00F869F7" w:rsidP="00847CA3">
      <w:pPr>
        <w:spacing w:line="360" w:lineRule="auto"/>
        <w:jc w:val="both"/>
        <w:rPr>
          <w:rFonts w:ascii="Arial" w:hAnsi="Arial" w:cs="Arial"/>
          <w:sz w:val="24"/>
          <w:szCs w:val="24"/>
        </w:rPr>
      </w:pPr>
    </w:p>
    <w:p w14:paraId="002EB61A" w14:textId="77777777" w:rsidR="00F869F7" w:rsidRPr="00847CA3" w:rsidRDefault="00F869F7" w:rsidP="00847CA3">
      <w:pPr>
        <w:spacing w:line="360" w:lineRule="auto"/>
        <w:jc w:val="both"/>
        <w:rPr>
          <w:rFonts w:ascii="Arial" w:hAnsi="Arial" w:cs="Arial"/>
          <w:sz w:val="24"/>
          <w:szCs w:val="24"/>
        </w:rPr>
      </w:pPr>
    </w:p>
    <w:p w14:paraId="5085B3B4" w14:textId="60752CBC" w:rsidR="00F869F7" w:rsidRPr="00847CA3" w:rsidRDefault="00F869F7" w:rsidP="00847CA3">
      <w:pPr>
        <w:spacing w:line="360" w:lineRule="auto"/>
        <w:jc w:val="both"/>
        <w:rPr>
          <w:rFonts w:ascii="Arial" w:hAnsi="Arial" w:cs="Arial"/>
          <w:noProof/>
          <w:sz w:val="24"/>
          <w:szCs w:val="24"/>
        </w:rPr>
      </w:pPr>
      <w:r w:rsidRPr="00847CA3">
        <w:rPr>
          <w:rFonts w:ascii="Arial" w:hAnsi="Arial" w:cs="Arial"/>
          <w:sz w:val="24"/>
          <w:szCs w:val="24"/>
        </w:rPr>
        <w:t xml:space="preserve">La relación grafica de dispersión </w:t>
      </w:r>
      <w:r w:rsidR="00E70317" w:rsidRPr="00847CA3">
        <w:rPr>
          <w:rFonts w:ascii="Arial" w:hAnsi="Arial" w:cs="Arial"/>
          <w:sz w:val="24"/>
          <w:szCs w:val="24"/>
        </w:rPr>
        <w:t>entre el Índice</w:t>
      </w:r>
      <w:r w:rsidRPr="00847CA3">
        <w:rPr>
          <w:rFonts w:ascii="Arial" w:hAnsi="Arial" w:cs="Arial"/>
          <w:sz w:val="24"/>
          <w:szCs w:val="24"/>
        </w:rPr>
        <w:t xml:space="preserve"> Nacional de Precios al Consumidor y la variable dependiente, </w:t>
      </w:r>
      <w:r w:rsidRPr="00847CA3">
        <w:rPr>
          <w:rFonts w:ascii="Arial" w:hAnsi="Arial" w:cs="Arial"/>
          <w:sz w:val="24"/>
          <w:szCs w:val="24"/>
        </w:rPr>
        <w:t>FBKF privada, muestran una relación negativa.</w:t>
      </w:r>
      <w:r w:rsidRPr="00847CA3">
        <w:rPr>
          <w:rFonts w:ascii="Arial" w:hAnsi="Arial" w:cs="Arial"/>
          <w:noProof/>
          <w:sz w:val="24"/>
          <w:szCs w:val="24"/>
        </w:rPr>
        <w:t xml:space="preserve"> </w:t>
      </w:r>
      <w:r w:rsidRPr="00847CA3">
        <w:rPr>
          <w:rFonts w:ascii="Arial" w:hAnsi="Arial" w:cs="Arial"/>
          <w:noProof/>
          <w:sz w:val="24"/>
          <w:szCs w:val="24"/>
        </w:rPr>
        <w:drawing>
          <wp:inline distT="0" distB="0" distL="0" distR="0" wp14:anchorId="6F465542" wp14:editId="0CB8D532">
            <wp:extent cx="2886075" cy="2343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47" t="18716" r="21928" b="7023"/>
                    <a:stretch/>
                  </pic:blipFill>
                  <pic:spPr bwMode="auto">
                    <a:xfrm>
                      <a:off x="0" y="0"/>
                      <a:ext cx="2886075" cy="2343150"/>
                    </a:xfrm>
                    <a:prstGeom prst="rect">
                      <a:avLst/>
                    </a:prstGeom>
                    <a:ln>
                      <a:noFill/>
                    </a:ln>
                    <a:extLst>
                      <a:ext uri="{53640926-AAD7-44D8-BBD7-CCE9431645EC}">
                        <a14:shadowObscured xmlns:a14="http://schemas.microsoft.com/office/drawing/2010/main"/>
                      </a:ext>
                    </a:extLst>
                  </pic:spPr>
                </pic:pic>
              </a:graphicData>
            </a:graphic>
          </wp:inline>
        </w:drawing>
      </w:r>
    </w:p>
    <w:p w14:paraId="762CD1E7" w14:textId="796102CD" w:rsidR="00F869F7" w:rsidRPr="00847CA3" w:rsidRDefault="00F869F7" w:rsidP="00847CA3">
      <w:pPr>
        <w:spacing w:line="360" w:lineRule="auto"/>
        <w:jc w:val="both"/>
        <w:rPr>
          <w:rFonts w:ascii="Arial" w:hAnsi="Arial" w:cs="Arial"/>
          <w:noProof/>
          <w:sz w:val="24"/>
          <w:szCs w:val="24"/>
        </w:rPr>
      </w:pPr>
    </w:p>
    <w:p w14:paraId="19B57E11" w14:textId="62B214EF" w:rsidR="00F869F7" w:rsidRPr="00847CA3" w:rsidRDefault="00F869F7" w:rsidP="00847CA3">
      <w:pPr>
        <w:spacing w:line="360" w:lineRule="auto"/>
        <w:jc w:val="both"/>
        <w:rPr>
          <w:rFonts w:ascii="Arial" w:hAnsi="Arial" w:cs="Arial"/>
          <w:noProof/>
          <w:sz w:val="24"/>
          <w:szCs w:val="24"/>
        </w:rPr>
      </w:pPr>
    </w:p>
    <w:p w14:paraId="64DA0EF5" w14:textId="1C7CA9B1" w:rsidR="00F869F7" w:rsidRPr="00847CA3" w:rsidRDefault="00F869F7" w:rsidP="00847CA3">
      <w:pPr>
        <w:spacing w:line="360" w:lineRule="auto"/>
        <w:jc w:val="both"/>
        <w:rPr>
          <w:rFonts w:ascii="Arial" w:hAnsi="Arial" w:cs="Arial"/>
          <w:noProof/>
          <w:sz w:val="24"/>
          <w:szCs w:val="24"/>
        </w:rPr>
      </w:pPr>
    </w:p>
    <w:p w14:paraId="338D634F" w14:textId="77777777" w:rsidR="00F869F7" w:rsidRPr="00847CA3" w:rsidRDefault="00F869F7" w:rsidP="00847CA3">
      <w:pPr>
        <w:spacing w:line="360" w:lineRule="auto"/>
        <w:jc w:val="both"/>
        <w:rPr>
          <w:rFonts w:ascii="Arial" w:hAnsi="Arial" w:cs="Arial"/>
          <w:noProof/>
          <w:sz w:val="24"/>
          <w:szCs w:val="24"/>
        </w:rPr>
      </w:pPr>
    </w:p>
    <w:p w14:paraId="1FF57129" w14:textId="77777777" w:rsidR="00F869F7" w:rsidRPr="00847CA3" w:rsidRDefault="00F869F7" w:rsidP="00847CA3">
      <w:pPr>
        <w:spacing w:line="360" w:lineRule="auto"/>
        <w:jc w:val="both"/>
        <w:rPr>
          <w:rFonts w:ascii="Arial" w:hAnsi="Arial" w:cs="Arial"/>
          <w:noProof/>
          <w:sz w:val="24"/>
          <w:szCs w:val="24"/>
        </w:rPr>
        <w:sectPr w:rsidR="00F869F7" w:rsidRPr="00847CA3" w:rsidSect="00F869F7">
          <w:type w:val="continuous"/>
          <w:pgSz w:w="12240" w:h="15840"/>
          <w:pgMar w:top="1417" w:right="1701" w:bottom="1417" w:left="1701" w:header="708" w:footer="708" w:gutter="0"/>
          <w:cols w:num="2" w:space="708"/>
          <w:docGrid w:linePitch="360"/>
        </w:sectPr>
      </w:pPr>
      <w:r w:rsidRPr="00847CA3">
        <w:rPr>
          <w:rFonts w:ascii="Arial" w:hAnsi="Arial" w:cs="Arial"/>
          <w:noProof/>
          <w:sz w:val="24"/>
          <w:szCs w:val="24"/>
        </w:rPr>
        <w:t xml:space="preserve">El grafico entre el tipo de cambio y la  FBKF tiene la siguiente relacion  positiva  </w:t>
      </w:r>
    </w:p>
    <w:p w14:paraId="6ED2DB9E" w14:textId="4A865EF3" w:rsidR="00F869F7" w:rsidRPr="00847CA3" w:rsidRDefault="00F869F7" w:rsidP="00847CA3">
      <w:pPr>
        <w:spacing w:line="360" w:lineRule="auto"/>
        <w:jc w:val="both"/>
        <w:rPr>
          <w:rFonts w:ascii="Arial" w:hAnsi="Arial" w:cs="Arial"/>
          <w:sz w:val="24"/>
          <w:szCs w:val="24"/>
        </w:rPr>
        <w:sectPr w:rsidR="00F869F7" w:rsidRPr="00847CA3" w:rsidSect="00F869F7">
          <w:type w:val="continuous"/>
          <w:pgSz w:w="12240" w:h="15840"/>
          <w:pgMar w:top="1417" w:right="1701" w:bottom="1417" w:left="1701" w:header="708" w:footer="708" w:gutter="0"/>
          <w:cols w:space="708"/>
          <w:docGrid w:linePitch="360"/>
        </w:sectPr>
      </w:pPr>
      <w:r w:rsidRPr="00847CA3">
        <w:rPr>
          <w:rFonts w:ascii="Arial" w:hAnsi="Arial" w:cs="Arial"/>
          <w:noProof/>
          <w:sz w:val="24"/>
          <w:szCs w:val="24"/>
        </w:rPr>
        <w:drawing>
          <wp:inline distT="0" distB="0" distL="0" distR="0" wp14:anchorId="4B898CBB" wp14:editId="4B139D4D">
            <wp:extent cx="3048000" cy="2305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986" t="18414" r="18703" b="8533"/>
                    <a:stretch/>
                  </pic:blipFill>
                  <pic:spPr bwMode="auto">
                    <a:xfrm>
                      <a:off x="0" y="0"/>
                      <a:ext cx="3048000" cy="2305050"/>
                    </a:xfrm>
                    <a:prstGeom prst="rect">
                      <a:avLst/>
                    </a:prstGeom>
                    <a:ln>
                      <a:noFill/>
                    </a:ln>
                    <a:extLst>
                      <a:ext uri="{53640926-AAD7-44D8-BBD7-CCE9431645EC}">
                        <a14:shadowObscured xmlns:a14="http://schemas.microsoft.com/office/drawing/2010/main"/>
                      </a:ext>
                    </a:extLst>
                  </pic:spPr>
                </pic:pic>
              </a:graphicData>
            </a:graphic>
          </wp:inline>
        </w:drawing>
      </w:r>
    </w:p>
    <w:p w14:paraId="3FCEEEE5" w14:textId="0BCF414E" w:rsidR="00716312" w:rsidRPr="00847CA3" w:rsidRDefault="00716312" w:rsidP="00847CA3">
      <w:pPr>
        <w:spacing w:line="360" w:lineRule="auto"/>
        <w:jc w:val="both"/>
        <w:rPr>
          <w:rFonts w:ascii="Arial" w:hAnsi="Arial" w:cs="Arial"/>
          <w:b/>
          <w:smallCaps/>
          <w:sz w:val="24"/>
          <w:szCs w:val="24"/>
        </w:rPr>
      </w:pPr>
      <w:r w:rsidRPr="00847CA3">
        <w:rPr>
          <w:rFonts w:ascii="Arial" w:hAnsi="Arial" w:cs="Arial"/>
          <w:b/>
          <w:smallCaps/>
          <w:sz w:val="24"/>
          <w:szCs w:val="24"/>
        </w:rPr>
        <w:t xml:space="preserve">Bibliografía </w:t>
      </w:r>
    </w:p>
    <w:p w14:paraId="2908F460" w14:textId="74B2AD3D" w:rsidR="00716312" w:rsidRPr="00847CA3" w:rsidRDefault="00716312" w:rsidP="00847CA3">
      <w:pPr>
        <w:spacing w:line="360" w:lineRule="auto"/>
        <w:jc w:val="both"/>
        <w:rPr>
          <w:rFonts w:ascii="Arial" w:hAnsi="Arial" w:cs="Arial"/>
          <w:sz w:val="24"/>
          <w:szCs w:val="24"/>
          <w:lang w:val="en-US"/>
        </w:rPr>
      </w:pPr>
      <w:r w:rsidRPr="00847CA3">
        <w:rPr>
          <w:rFonts w:ascii="Arial" w:hAnsi="Arial" w:cs="Arial"/>
          <w:sz w:val="24"/>
          <w:szCs w:val="24"/>
          <w:lang w:val="en-US"/>
        </w:rPr>
        <w:lastRenderedPageBreak/>
        <w:t>Serven, Luis &amp; Solimano, Andres. (199</w:t>
      </w:r>
      <w:r w:rsidR="0033445D" w:rsidRPr="00847CA3">
        <w:rPr>
          <w:rFonts w:ascii="Arial" w:hAnsi="Arial" w:cs="Arial"/>
          <w:sz w:val="24"/>
          <w:szCs w:val="24"/>
          <w:lang w:val="en-US"/>
        </w:rPr>
        <w:t>2</w:t>
      </w:r>
      <w:r w:rsidRPr="00847CA3">
        <w:rPr>
          <w:rFonts w:ascii="Arial" w:hAnsi="Arial" w:cs="Arial"/>
          <w:sz w:val="24"/>
          <w:szCs w:val="24"/>
          <w:lang w:val="en-US"/>
        </w:rPr>
        <w:t xml:space="preserve">). Saving, investment, and growth in developing </w:t>
      </w:r>
      <w:r w:rsidR="00681F05" w:rsidRPr="00847CA3">
        <w:rPr>
          <w:rFonts w:ascii="Arial" w:hAnsi="Arial" w:cs="Arial"/>
          <w:sz w:val="24"/>
          <w:szCs w:val="24"/>
          <w:lang w:val="en-US"/>
        </w:rPr>
        <w:t>countries:</w:t>
      </w:r>
      <w:r w:rsidRPr="00847CA3">
        <w:rPr>
          <w:rFonts w:ascii="Arial" w:hAnsi="Arial" w:cs="Arial"/>
          <w:sz w:val="24"/>
          <w:szCs w:val="24"/>
          <w:lang w:val="en-US"/>
        </w:rPr>
        <w:t xml:space="preserve"> an overview.</w:t>
      </w:r>
    </w:p>
    <w:p w14:paraId="58E09D3B" w14:textId="47A0AA21" w:rsidR="00716312" w:rsidRPr="00847CA3" w:rsidRDefault="00716312" w:rsidP="00847CA3">
      <w:pPr>
        <w:spacing w:line="360" w:lineRule="auto"/>
        <w:jc w:val="both"/>
        <w:rPr>
          <w:rFonts w:ascii="Arial" w:hAnsi="Arial" w:cs="Arial"/>
          <w:sz w:val="24"/>
          <w:szCs w:val="24"/>
          <w:lang w:val="en-US"/>
        </w:rPr>
      </w:pPr>
      <w:r w:rsidRPr="00847CA3">
        <w:rPr>
          <w:rFonts w:ascii="Arial" w:hAnsi="Arial" w:cs="Arial"/>
          <w:sz w:val="24"/>
          <w:szCs w:val="24"/>
          <w:lang w:val="en-US"/>
        </w:rPr>
        <w:t xml:space="preserve">Joshua Greene and Delano Villanueva, (1991), </w:t>
      </w:r>
      <w:hyperlink r:id="rId15" w:history="1">
        <w:r w:rsidRPr="00847CA3">
          <w:rPr>
            <w:rFonts w:ascii="Arial" w:hAnsi="Arial" w:cs="Arial"/>
            <w:sz w:val="24"/>
            <w:szCs w:val="24"/>
            <w:lang w:val="en-US"/>
          </w:rPr>
          <w:t>Private Investment in Developing Countries: An Empirical Analysis</w:t>
        </w:r>
      </w:hyperlink>
      <w:r w:rsidRPr="00847CA3">
        <w:rPr>
          <w:rFonts w:ascii="Arial" w:hAnsi="Arial" w:cs="Arial"/>
          <w:sz w:val="24"/>
          <w:szCs w:val="24"/>
          <w:lang w:val="en-US"/>
        </w:rPr>
        <w:t>, IMF Staff Papers, 38.</w:t>
      </w:r>
    </w:p>
    <w:p w14:paraId="79AB941E" w14:textId="2989828F" w:rsidR="0033445D" w:rsidRPr="00847CA3" w:rsidRDefault="0033445D" w:rsidP="00847CA3">
      <w:pPr>
        <w:spacing w:line="360" w:lineRule="auto"/>
        <w:jc w:val="both"/>
        <w:rPr>
          <w:rFonts w:ascii="Arial" w:hAnsi="Arial" w:cs="Arial"/>
          <w:sz w:val="24"/>
          <w:szCs w:val="24"/>
        </w:rPr>
      </w:pPr>
      <w:r w:rsidRPr="00847CA3">
        <w:rPr>
          <w:rFonts w:ascii="Arial" w:hAnsi="Arial" w:cs="Arial"/>
          <w:sz w:val="24"/>
          <w:szCs w:val="24"/>
        </w:rPr>
        <w:t xml:space="preserve">Marcio Bruno Ribeiro y Joanilio Rodolpho Teixeira, </w:t>
      </w:r>
      <w:r w:rsidR="003D5466" w:rsidRPr="00847CA3">
        <w:rPr>
          <w:rFonts w:ascii="Arial" w:hAnsi="Arial" w:cs="Arial"/>
          <w:sz w:val="24"/>
          <w:szCs w:val="24"/>
        </w:rPr>
        <w:t>(2001), Análisis econométrico de la inversión privada en Brasil, CEPAL.</w:t>
      </w:r>
    </w:p>
    <w:p w14:paraId="664365DD" w14:textId="63321072" w:rsidR="00716312" w:rsidRPr="00847CA3" w:rsidRDefault="00E70317" w:rsidP="00847CA3">
      <w:pPr>
        <w:spacing w:line="360" w:lineRule="auto"/>
        <w:jc w:val="both"/>
        <w:rPr>
          <w:rFonts w:ascii="Arial" w:hAnsi="Arial" w:cs="Arial"/>
          <w:sz w:val="24"/>
          <w:szCs w:val="24"/>
        </w:rPr>
      </w:pPr>
      <w:r w:rsidRPr="00847CA3">
        <w:rPr>
          <w:rFonts w:ascii="Arial" w:hAnsi="Arial" w:cs="Arial"/>
          <w:sz w:val="24"/>
          <w:szCs w:val="24"/>
          <w:lang w:val="en-US"/>
        </w:rPr>
        <w:t>Engle, R.F., D.F. Hendry y J.F. Richard (1983): Exogeneity, Econometrical, vol. 51, N° 2, Evanston, Illinois, The Econometric Society.</w:t>
      </w:r>
    </w:p>
    <w:sectPr w:rsidR="00716312" w:rsidRPr="00847CA3" w:rsidSect="00F15CF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A5F1" w14:textId="77777777" w:rsidR="00912348" w:rsidRDefault="00912348" w:rsidP="00681F05">
      <w:pPr>
        <w:spacing w:after="0" w:line="240" w:lineRule="auto"/>
      </w:pPr>
      <w:r>
        <w:separator/>
      </w:r>
    </w:p>
  </w:endnote>
  <w:endnote w:type="continuationSeparator" w:id="0">
    <w:p w14:paraId="3AC3DCED" w14:textId="77777777" w:rsidR="00912348" w:rsidRDefault="00912348" w:rsidP="0068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6F96" w14:textId="77777777" w:rsidR="00912348" w:rsidRDefault="00912348" w:rsidP="00681F05">
      <w:pPr>
        <w:spacing w:after="0" w:line="240" w:lineRule="auto"/>
      </w:pPr>
      <w:r>
        <w:separator/>
      </w:r>
    </w:p>
  </w:footnote>
  <w:footnote w:type="continuationSeparator" w:id="0">
    <w:p w14:paraId="748FE6AB" w14:textId="77777777" w:rsidR="00912348" w:rsidRDefault="00912348" w:rsidP="00681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2FDE" w14:textId="3069227B" w:rsidR="00847CA3" w:rsidRDefault="00847CA3" w:rsidP="00847CA3">
    <w:pPr>
      <w:pStyle w:val="Encabezado"/>
      <w:jc w:val="right"/>
    </w:pPr>
    <w:r>
      <w:t>García Ramos José Roberto</w:t>
    </w:r>
  </w:p>
  <w:p w14:paraId="490E42B6" w14:textId="4BA61FEC" w:rsidR="00847CA3" w:rsidRDefault="00847CA3" w:rsidP="00847CA3">
    <w:pPr>
      <w:pStyle w:val="Encabezado"/>
      <w:jc w:val="right"/>
    </w:pPr>
    <w:r>
      <w:t>No. Cta. 418030473</w:t>
    </w:r>
  </w:p>
  <w:p w14:paraId="3F238B5C" w14:textId="1583C681" w:rsidR="00847CA3" w:rsidRDefault="00847CA3" w:rsidP="00847CA3">
    <w:pPr>
      <w:pStyle w:val="Encabezado"/>
      <w:jc w:val="right"/>
    </w:pPr>
    <w:r>
      <w:t>Introducción a la Econometría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3E"/>
    <w:rsid w:val="000471FA"/>
    <w:rsid w:val="000A378B"/>
    <w:rsid w:val="000A70DF"/>
    <w:rsid w:val="00176EDE"/>
    <w:rsid w:val="0033445D"/>
    <w:rsid w:val="00377B2C"/>
    <w:rsid w:val="003A125C"/>
    <w:rsid w:val="003D5466"/>
    <w:rsid w:val="003E2E04"/>
    <w:rsid w:val="00402471"/>
    <w:rsid w:val="004B668B"/>
    <w:rsid w:val="005D6C1F"/>
    <w:rsid w:val="005E1C8D"/>
    <w:rsid w:val="005F583E"/>
    <w:rsid w:val="00681F05"/>
    <w:rsid w:val="006B7F32"/>
    <w:rsid w:val="00702BEA"/>
    <w:rsid w:val="00716312"/>
    <w:rsid w:val="008164E3"/>
    <w:rsid w:val="00847CA3"/>
    <w:rsid w:val="00912348"/>
    <w:rsid w:val="00A2014C"/>
    <w:rsid w:val="00BB27BB"/>
    <w:rsid w:val="00CC1D6E"/>
    <w:rsid w:val="00D22897"/>
    <w:rsid w:val="00D23C98"/>
    <w:rsid w:val="00DD5DAB"/>
    <w:rsid w:val="00E2005F"/>
    <w:rsid w:val="00E70317"/>
    <w:rsid w:val="00EE177F"/>
    <w:rsid w:val="00F15CFA"/>
    <w:rsid w:val="00F869F7"/>
    <w:rsid w:val="00FC3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B9B8"/>
  <w15:chartTrackingRefBased/>
  <w15:docId w15:val="{E5D8011A-BB2D-452D-A458-C1DF7299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B668B"/>
    <w:rPr>
      <w:color w:val="0000FF"/>
      <w:u w:val="single"/>
    </w:rPr>
  </w:style>
  <w:style w:type="paragraph" w:styleId="Encabezado">
    <w:name w:val="header"/>
    <w:basedOn w:val="Normal"/>
    <w:link w:val="EncabezadoCar"/>
    <w:uiPriority w:val="99"/>
    <w:unhideWhenUsed/>
    <w:rsid w:val="00681F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F05"/>
  </w:style>
  <w:style w:type="paragraph" w:styleId="Piedepgina">
    <w:name w:val="footer"/>
    <w:basedOn w:val="Normal"/>
    <w:link w:val="PiedepginaCar"/>
    <w:uiPriority w:val="99"/>
    <w:unhideWhenUsed/>
    <w:rsid w:val="00681F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F05"/>
  </w:style>
  <w:style w:type="character" w:styleId="Textodelmarcadordeposicin">
    <w:name w:val="Placeholder Text"/>
    <w:basedOn w:val="Fuentedeprrafopredeter"/>
    <w:uiPriority w:val="99"/>
    <w:semiHidden/>
    <w:rsid w:val="00E70317"/>
    <w:rPr>
      <w:color w:val="808080"/>
    </w:rPr>
  </w:style>
  <w:style w:type="table" w:styleId="Tablaconcuadrcula">
    <w:name w:val="Table Grid"/>
    <w:basedOn w:val="Tablanormal"/>
    <w:uiPriority w:val="39"/>
    <w:rsid w:val="00E7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conpapers.repec.org/RAS/pvi281.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conpapers.repec.org/article/palimfstp/v_3a38_3ay_3a1991_3ai_3a1_3ap_3a33-58.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2D6C-482E-428A-969A-814FCC4E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2162</Words>
  <Characters>11892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GARCÍA RAMOS</dc:creator>
  <cp:keywords/>
  <dc:description/>
  <cp:lastModifiedBy>JOSÉ ENRIQUE GARCÍA RAMOS</cp:lastModifiedBy>
  <cp:revision>4</cp:revision>
  <dcterms:created xsi:type="dcterms:W3CDTF">2019-11-12T19:05:00Z</dcterms:created>
  <dcterms:modified xsi:type="dcterms:W3CDTF">2019-11-13T07:37:00Z</dcterms:modified>
</cp:coreProperties>
</file>